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9B4C" w14:textId="4BB6C6E2" w:rsidR="00253EA6" w:rsidRPr="00B444DB" w:rsidRDefault="00253EA6" w:rsidP="00253EA6">
      <w:pPr>
        <w:rPr>
          <w:b/>
          <w:bCs/>
          <w:szCs w:val="20"/>
        </w:rPr>
      </w:pPr>
      <w:r w:rsidRPr="00B444DB">
        <w:rPr>
          <w:b/>
          <w:bCs/>
          <w:szCs w:val="20"/>
        </w:rPr>
        <w:t>WBS 1.6 Software</w:t>
      </w:r>
    </w:p>
    <w:p w14:paraId="6181B60D" w14:textId="77777777" w:rsidR="008541C4" w:rsidRDefault="008541C4" w:rsidP="00AA7003"/>
    <w:p w14:paraId="5435EBDC" w14:textId="77777777" w:rsidR="003E6045" w:rsidRDefault="003E6045" w:rsidP="00950492">
      <w:pPr>
        <w:ind w:right="-270"/>
        <w:rPr>
          <w:b/>
        </w:rPr>
      </w:pPr>
    </w:p>
    <w:p w14:paraId="7F6D344B" w14:textId="01A0C72F" w:rsidR="00901504" w:rsidRDefault="00901504" w:rsidP="00901504">
      <w:pPr>
        <w:ind w:right="-270"/>
        <w:rPr>
          <w:b/>
          <w:sz w:val="22"/>
        </w:rPr>
      </w:pPr>
      <w:r>
        <w:rPr>
          <w:b/>
        </w:rPr>
        <w:t>CD4 (project closeout) work</w:t>
      </w:r>
      <w:r w:rsidRPr="001C6CE0">
        <w:rPr>
          <w:b/>
        </w:rPr>
        <w:t>:</w:t>
      </w:r>
      <w:r w:rsidRPr="001C6CE0">
        <w:rPr>
          <w:b/>
          <w:sz w:val="22"/>
        </w:rPr>
        <w:t xml:space="preserve"> </w:t>
      </w:r>
    </w:p>
    <w:p w14:paraId="6422315A" w14:textId="77777777" w:rsidR="00901504" w:rsidRDefault="00901504" w:rsidP="00950492">
      <w:pPr>
        <w:ind w:right="-270"/>
        <w:rPr>
          <w:b/>
        </w:rPr>
      </w:pPr>
    </w:p>
    <w:p w14:paraId="75B488FE" w14:textId="190B23CF" w:rsidR="00901504" w:rsidRDefault="00901504" w:rsidP="00901504">
      <w:pPr>
        <w:ind w:right="-270"/>
        <w:rPr>
          <w:rFonts w:ascii="Calibri" w:hAnsi="Calibri" w:cs="Calibri"/>
          <w:sz w:val="28"/>
          <w:szCs w:val="28"/>
        </w:rPr>
      </w:pPr>
      <w:r>
        <w:rPr>
          <w:b/>
        </w:rPr>
        <w:t xml:space="preserve">Achieving Ultimate Performance Parameter (UPP) for </w:t>
      </w:r>
      <w:r w:rsidR="0071244F">
        <w:rPr>
          <w:b/>
        </w:rPr>
        <w:t xml:space="preserve">track </w:t>
      </w:r>
      <w:r>
        <w:rPr>
          <w:b/>
        </w:rPr>
        <w:t>DCA resolution</w:t>
      </w:r>
    </w:p>
    <w:p w14:paraId="29F86E96" w14:textId="77777777" w:rsidR="00901504" w:rsidRPr="00E274B8" w:rsidRDefault="00901504" w:rsidP="00901504">
      <w:pPr>
        <w:ind w:right="-270"/>
        <w:rPr>
          <w:b/>
          <w:sz w:val="22"/>
        </w:rPr>
      </w:pPr>
    </w:p>
    <w:p w14:paraId="5C88A8C2" w14:textId="10966EA7" w:rsidR="00901504" w:rsidRDefault="00901504" w:rsidP="0071244F">
      <w:pPr>
        <w:ind w:right="-270"/>
      </w:pPr>
      <w:r>
        <w:t>One of the items DOE requested the HFT team to work and report on during CD4 and transition to operations was to outline a plan for achieving the desirable (but not mandatory) ultimate performance goals (UPP) for track pointing or DCA resolution and single-track reconstruction efficiency. These two items fall in the area of software and a plan was drafted to demonstrate this. Here we report on the first item, the DCA resolution, using actual Data measurements from this year’s run, Run-14. The UPP number for the DCA resolution was motivated, at the time, by the possibility of using readout cables with Aluminum traces instead of Copper, an alternative that reduces the overall average radiation thickness from about 0.5% X</w:t>
      </w:r>
      <w:r w:rsidRPr="0071244F">
        <w:rPr>
          <w:vertAlign w:val="subscript"/>
        </w:rPr>
        <w:t>0</w:t>
      </w:r>
      <w:r>
        <w:t xml:space="preserve"> to about 0.38% X</w:t>
      </w:r>
      <w:r w:rsidRPr="0071244F">
        <w:rPr>
          <w:vertAlign w:val="subscript"/>
        </w:rPr>
        <w:t>0</w:t>
      </w:r>
      <w:r>
        <w:t>.  In Run-14 the installed copy of HFT had all but two inner ladders made with Cu-cables; two sectors (#6 and #7) had inner ladders with Al-cables.</w:t>
      </w:r>
      <w:r w:rsidR="007C6F4A">
        <w:t xml:space="preserve"> </w:t>
      </w:r>
    </w:p>
    <w:p w14:paraId="7394D7E7" w14:textId="77777777" w:rsidR="007C6F4A" w:rsidRDefault="007C6F4A" w:rsidP="007C6F4A">
      <w:pPr>
        <w:ind w:right="-270"/>
      </w:pPr>
    </w:p>
    <w:p w14:paraId="3446FB55" w14:textId="77777777" w:rsidR="0071244F" w:rsidRDefault="0071244F" w:rsidP="0071244F">
      <w:r>
        <w:rPr>
          <w:noProof/>
        </w:rPr>
        <w:drawing>
          <wp:inline distT="0" distB="0" distL="0" distR="0" wp14:anchorId="3D8E8FB8" wp14:editId="212C5D23">
            <wp:extent cx="4571011" cy="3424555"/>
            <wp:effectExtent l="0" t="0" r="1270" b="4445"/>
            <wp:docPr id="22539" name="Picture 2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9.png"/>
                    <pic:cNvPicPr/>
                  </pic:nvPicPr>
                  <pic:blipFill>
                    <a:blip r:embed="rId7">
                      <a:extLst>
                        <a:ext uri="{28A0092B-C50C-407E-A947-70E740481C1C}">
                          <a14:useLocalDpi xmlns:a14="http://schemas.microsoft.com/office/drawing/2010/main" val="0"/>
                        </a:ext>
                      </a:extLst>
                    </a:blip>
                    <a:stretch>
                      <a:fillRect/>
                    </a:stretch>
                  </pic:blipFill>
                  <pic:spPr>
                    <a:xfrm>
                      <a:off x="0" y="0"/>
                      <a:ext cx="4571011" cy="3424555"/>
                    </a:xfrm>
                    <a:prstGeom prst="rect">
                      <a:avLst/>
                    </a:prstGeom>
                  </pic:spPr>
                </pic:pic>
              </a:graphicData>
            </a:graphic>
          </wp:inline>
        </w:drawing>
      </w:r>
    </w:p>
    <w:p w14:paraId="2224C785" w14:textId="77777777" w:rsidR="0071244F" w:rsidRDefault="0071244F" w:rsidP="0071244F"/>
    <w:p w14:paraId="7806F269" w14:textId="77777777" w:rsidR="0071244F" w:rsidRDefault="0071244F" w:rsidP="0071244F">
      <w:pPr>
        <w:pStyle w:val="Caption"/>
        <w:rPr>
          <w:i/>
          <w:color w:val="auto"/>
        </w:rPr>
      </w:pPr>
      <w:bookmarkStart w:id="0" w:name="_Ref265939502"/>
      <w:r w:rsidRPr="00417DA0">
        <w:rPr>
          <w:i/>
          <w:color w:val="auto"/>
        </w:rPr>
        <w:t xml:space="preserve">Figure </w:t>
      </w:r>
      <w:r w:rsidRPr="00417DA0">
        <w:rPr>
          <w:i/>
          <w:color w:val="auto"/>
        </w:rPr>
        <w:fldChar w:fldCharType="begin"/>
      </w:r>
      <w:r w:rsidRPr="00417DA0">
        <w:rPr>
          <w:i/>
          <w:color w:val="auto"/>
        </w:rPr>
        <w:instrText xml:space="preserve"> SEQ Figure \* ARABIC </w:instrText>
      </w:r>
      <w:r w:rsidRPr="00417DA0">
        <w:rPr>
          <w:i/>
          <w:color w:val="auto"/>
        </w:rPr>
        <w:fldChar w:fldCharType="separate"/>
      </w:r>
      <w:r w:rsidR="0058046F">
        <w:rPr>
          <w:i/>
          <w:noProof/>
          <w:color w:val="auto"/>
        </w:rPr>
        <w:t>1</w:t>
      </w:r>
      <w:r w:rsidRPr="00417DA0">
        <w:rPr>
          <w:i/>
          <w:color w:val="auto"/>
        </w:rPr>
        <w:fldChar w:fldCharType="end"/>
      </w:r>
      <w:bookmarkEnd w:id="0"/>
      <w:proofErr w:type="gramStart"/>
      <w:r>
        <w:rPr>
          <w:i/>
          <w:color w:val="auto"/>
        </w:rPr>
        <w:t xml:space="preserve"> :</w:t>
      </w:r>
      <w:proofErr w:type="gramEnd"/>
      <w:r>
        <w:rPr>
          <w:i/>
          <w:color w:val="auto"/>
        </w:rPr>
        <w:t xml:space="preserve"> DCA </w:t>
      </w:r>
      <w:proofErr w:type="spellStart"/>
      <w:r>
        <w:rPr>
          <w:i/>
          <w:color w:val="auto"/>
        </w:rPr>
        <w:t>vs</w:t>
      </w:r>
      <w:proofErr w:type="spellEnd"/>
      <w:r>
        <w:rPr>
          <w:i/>
          <w:color w:val="auto"/>
        </w:rPr>
        <w:t xml:space="preserve"> phi for p&gt;0.5 </w:t>
      </w:r>
      <w:proofErr w:type="spellStart"/>
      <w:r>
        <w:rPr>
          <w:i/>
          <w:color w:val="auto"/>
        </w:rPr>
        <w:t>GeV</w:t>
      </w:r>
      <w:proofErr w:type="spellEnd"/>
      <w:r w:rsidRPr="00417DA0">
        <w:rPr>
          <w:i/>
          <w:color w:val="auto"/>
        </w:rPr>
        <w:t>/c</w:t>
      </w:r>
      <w:r>
        <w:rPr>
          <w:i/>
          <w:color w:val="auto"/>
        </w:rPr>
        <w:t>. The blue arrows show the location of the two PXL ladders (6 and 7) that were constructed with aluminum traces in the readout cables instead of copper traces. The red dashed lines show the approximate location of the sector walls.</w:t>
      </w:r>
    </w:p>
    <w:p w14:paraId="5A67FAF9" w14:textId="77777777" w:rsidR="0071244F" w:rsidRDefault="0071244F" w:rsidP="007C6F4A">
      <w:pPr>
        <w:ind w:right="-270"/>
      </w:pPr>
    </w:p>
    <w:p w14:paraId="6213FFBE" w14:textId="77777777" w:rsidR="0071244F" w:rsidRDefault="0071244F" w:rsidP="007C6F4A">
      <w:pPr>
        <w:ind w:right="-270"/>
      </w:pPr>
    </w:p>
    <w:p w14:paraId="1910F3D2" w14:textId="1095F70C" w:rsidR="0071244F" w:rsidRPr="00A551F9" w:rsidRDefault="0071244F" w:rsidP="0071244F">
      <w:r w:rsidRPr="00A551F9">
        <w:lastRenderedPageBreak/>
        <w:fldChar w:fldCharType="begin"/>
      </w:r>
      <w:r w:rsidRPr="00A551F9">
        <w:instrText xml:space="preserve"> REF _Ref265939502 \h </w:instrText>
      </w:r>
      <w:r w:rsidRPr="00A551F9">
        <w:fldChar w:fldCharType="separate"/>
      </w:r>
      <w:r w:rsidRPr="00417DA0">
        <w:rPr>
          <w:i/>
        </w:rPr>
        <w:t xml:space="preserve">Figure </w:t>
      </w:r>
      <w:r>
        <w:rPr>
          <w:i/>
          <w:noProof/>
        </w:rPr>
        <w:t>1</w:t>
      </w:r>
      <w:r w:rsidRPr="00A551F9">
        <w:fldChar w:fldCharType="end"/>
      </w:r>
      <w:r w:rsidRPr="00A551F9">
        <w:t xml:space="preserve"> shows</w:t>
      </w:r>
      <w:r>
        <w:t xml:space="preserve"> the average DCA-XY resolution for tracks with momenta greater than 0.5 </w:t>
      </w:r>
      <w:proofErr w:type="spellStart"/>
      <w:r>
        <w:t>GeV</w:t>
      </w:r>
      <w:proofErr w:type="spellEnd"/>
      <w:r>
        <w:t>/c as a function of the azimuthal angle in degrees for all hadrons. The red dashed lines show the approximate location of the sector walls</w:t>
      </w:r>
      <w:r w:rsidR="0058046F">
        <w:t>. The location of the</w:t>
      </w:r>
      <w:r>
        <w:t xml:space="preserve"> two sectors (</w:t>
      </w:r>
      <w:r w:rsidR="0058046F">
        <w:t>#6 and #7</w:t>
      </w:r>
      <w:r>
        <w:t xml:space="preserve">) </w:t>
      </w:r>
      <w:r w:rsidR="0058046F">
        <w:t xml:space="preserve">with Aluminum-trace cables in the inner ladder </w:t>
      </w:r>
      <w:r>
        <w:t>is shown in the figure by the two blue arrows. We observe that the average DCA value in these two sectors for this momentum range is lower than the average values in the other sectors.</w:t>
      </w:r>
    </w:p>
    <w:p w14:paraId="3A666F52" w14:textId="77777777" w:rsidR="0071244F" w:rsidRDefault="0071244F" w:rsidP="0071244F"/>
    <w:p w14:paraId="67663FF4" w14:textId="77777777" w:rsidR="004B1228" w:rsidRDefault="004B1228" w:rsidP="004B1228">
      <w:pPr>
        <w:ind w:right="-270"/>
      </w:pPr>
      <w:r>
        <w:rPr>
          <w:noProof/>
          <w:lang w:eastAsia="en-US"/>
        </w:rPr>
        <w:drawing>
          <wp:inline distT="0" distB="0" distL="0" distR="0" wp14:anchorId="017ED7FE" wp14:editId="7A30E93C">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Aluminum.jpg"/>
                    <pic:cNvPicPr/>
                  </pic:nvPicPr>
                  <pic:blipFill>
                    <a:blip r:embed="rId8">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14:paraId="33974C34" w14:textId="4170AB51" w:rsidR="004B1228" w:rsidRPr="004B1228" w:rsidRDefault="004B1228" w:rsidP="004B1228">
      <w:pPr>
        <w:pStyle w:val="Caption"/>
        <w:rPr>
          <w:color w:val="auto"/>
        </w:rPr>
      </w:pPr>
      <w:bookmarkStart w:id="1" w:name="_Ref274209326"/>
      <w:r w:rsidRPr="0058046F">
        <w:rPr>
          <w:color w:val="auto"/>
        </w:rPr>
        <w:t xml:space="preserve">Figure </w:t>
      </w:r>
      <w:r w:rsidRPr="0058046F">
        <w:rPr>
          <w:color w:val="auto"/>
        </w:rPr>
        <w:fldChar w:fldCharType="begin"/>
      </w:r>
      <w:r w:rsidRPr="0058046F">
        <w:rPr>
          <w:color w:val="auto"/>
        </w:rPr>
        <w:instrText xml:space="preserve"> SEQ Figure \* ARABIC </w:instrText>
      </w:r>
      <w:r w:rsidRPr="0058046F">
        <w:rPr>
          <w:color w:val="auto"/>
        </w:rPr>
        <w:fldChar w:fldCharType="separate"/>
      </w:r>
      <w:r>
        <w:rPr>
          <w:noProof/>
          <w:color w:val="auto"/>
        </w:rPr>
        <w:t>2</w:t>
      </w:r>
      <w:r w:rsidRPr="0058046F">
        <w:rPr>
          <w:color w:val="auto"/>
        </w:rPr>
        <w:fldChar w:fldCharType="end"/>
      </w:r>
      <w:bookmarkEnd w:id="1"/>
      <w:r w:rsidRPr="0058046F">
        <w:rPr>
          <w:color w:val="auto"/>
        </w:rPr>
        <w:t>: DCA-XY</w:t>
      </w:r>
      <w:r>
        <w:rPr>
          <w:color w:val="auto"/>
        </w:rPr>
        <w:t xml:space="preserve"> [left panels] and DCA-Z [right panels] resolution for tracks crossing the PXL sectors #6 and  #7. The lower panels show the actual fits of the raw DCA resolutions for </w:t>
      </w:r>
      <w:proofErr w:type="spellStart"/>
      <w:r>
        <w:rPr>
          <w:color w:val="auto"/>
        </w:rPr>
        <w:t>Kaons</w:t>
      </w:r>
      <w:proofErr w:type="spellEnd"/>
      <w:r>
        <w:rPr>
          <w:color w:val="auto"/>
        </w:rPr>
        <w:t xml:space="preserve"> with momentum in the range 700&lt;p&lt;800 MeV/c. </w:t>
      </w:r>
    </w:p>
    <w:p w14:paraId="4E53295A" w14:textId="77777777" w:rsidR="004B1228" w:rsidRPr="003E22F0" w:rsidRDefault="004B1228" w:rsidP="0071244F"/>
    <w:p w14:paraId="2E65F912" w14:textId="27E498EA" w:rsidR="0071244F" w:rsidRDefault="004D753D" w:rsidP="0071244F">
      <w:pPr>
        <w:ind w:right="-270"/>
      </w:pPr>
      <w:r>
        <w:fldChar w:fldCharType="begin"/>
      </w:r>
      <w:r>
        <w:instrText xml:space="preserve"> REF _Ref274209326 \h </w:instrText>
      </w:r>
      <w:r>
        <w:fldChar w:fldCharType="separate"/>
      </w:r>
      <w:r w:rsidRPr="0058046F">
        <w:t xml:space="preserve">Figure </w:t>
      </w:r>
      <w:r w:rsidRPr="0058046F">
        <w:rPr>
          <w:noProof/>
        </w:rPr>
        <w:t>2</w:t>
      </w:r>
      <w:r>
        <w:fldChar w:fldCharType="end"/>
      </w:r>
      <w:r w:rsidR="0071244F" w:rsidRPr="00C3108C">
        <w:t xml:space="preserve"> shows the </w:t>
      </w:r>
      <w:r>
        <w:t>DCA results in the XY [left panels</w:t>
      </w:r>
      <w:r w:rsidR="0071244F">
        <w:t>] and Z [</w:t>
      </w:r>
      <w:r>
        <w:t>right panels</w:t>
      </w:r>
      <w:r w:rsidR="0071244F">
        <w:t xml:space="preserve">] directions for </w:t>
      </w:r>
      <w:r>
        <w:t xml:space="preserve">a low-luminosity </w:t>
      </w:r>
      <w:r w:rsidR="0071244F">
        <w:t>data</w:t>
      </w:r>
      <w:r>
        <w:t xml:space="preserve"> sample taken for calibration purposes</w:t>
      </w:r>
      <w:r w:rsidR="0071244F">
        <w:t>.</w:t>
      </w:r>
      <w:r>
        <w:t xml:space="preserve"> Low luminosity results in very low pileup hit densities in the PXL detector and lower track densities in the TPC, i.e. the tracking environment is very ‘clean’.</w:t>
      </w:r>
      <w:r w:rsidR="0071244F">
        <w:t xml:space="preserve"> </w:t>
      </w:r>
      <w:r>
        <w:t xml:space="preserve">The lower panels show the raw DCA distributions and fits for </w:t>
      </w:r>
      <w:proofErr w:type="spellStart"/>
      <w:r>
        <w:t>Kaons</w:t>
      </w:r>
      <w:proofErr w:type="spellEnd"/>
      <w:r>
        <w:t xml:space="preserve"> in the required momentum range of 700&lt;p&lt;800 MeV/c. The achieved resolution for both directions in this low luminosity/low noise environment is 40 microns. A similar analysis in a regular (high) luminosity environment resulted</w:t>
      </w:r>
      <w:r w:rsidR="004B1228">
        <w:t xml:space="preserve"> 44 (46) microns for DCA-XY (Z). This clearly demonstrates the achievement of the DCA-UPP in the data.</w:t>
      </w:r>
    </w:p>
    <w:p w14:paraId="64DBF5E9" w14:textId="77777777" w:rsidR="004D753D" w:rsidRDefault="004D753D" w:rsidP="0071244F">
      <w:pPr>
        <w:ind w:right="-270"/>
      </w:pPr>
    </w:p>
    <w:p w14:paraId="4BC92A6B" w14:textId="77777777" w:rsidR="00901504" w:rsidRDefault="00901504" w:rsidP="00950492">
      <w:pPr>
        <w:ind w:right="-270"/>
        <w:rPr>
          <w:b/>
        </w:rPr>
      </w:pPr>
    </w:p>
    <w:p w14:paraId="23977CF8" w14:textId="77777777" w:rsidR="00901504" w:rsidRDefault="00901504" w:rsidP="00950492">
      <w:pPr>
        <w:ind w:right="-270"/>
        <w:rPr>
          <w:b/>
        </w:rPr>
      </w:pPr>
    </w:p>
    <w:p w14:paraId="05A1F51D" w14:textId="77777777" w:rsidR="00901504" w:rsidRDefault="00901504" w:rsidP="00950492">
      <w:pPr>
        <w:ind w:right="-270"/>
        <w:rPr>
          <w:b/>
        </w:rPr>
      </w:pPr>
    </w:p>
    <w:p w14:paraId="4B54469E" w14:textId="005191CB" w:rsidR="00486AB7" w:rsidRDefault="00BE0484" w:rsidP="00950492">
      <w:pPr>
        <w:ind w:right="-270"/>
        <w:rPr>
          <w:b/>
          <w:sz w:val="22"/>
        </w:rPr>
      </w:pPr>
      <w:r w:rsidRPr="001C6CE0">
        <w:rPr>
          <w:b/>
        </w:rPr>
        <w:t>Run</w:t>
      </w:r>
      <w:r w:rsidR="00901504">
        <w:rPr>
          <w:b/>
        </w:rPr>
        <w:t>-</w:t>
      </w:r>
      <w:r w:rsidRPr="001C6CE0">
        <w:rPr>
          <w:b/>
        </w:rPr>
        <w:t>14</w:t>
      </w:r>
      <w:r w:rsidR="00901504">
        <w:rPr>
          <w:b/>
        </w:rPr>
        <w:t xml:space="preserve"> (</w:t>
      </w:r>
      <w:proofErr w:type="spellStart"/>
      <w:r w:rsidR="00901504">
        <w:rPr>
          <w:b/>
        </w:rPr>
        <w:t>Au+Au</w:t>
      </w:r>
      <w:proofErr w:type="spellEnd"/>
      <w:r w:rsidR="00901504">
        <w:rPr>
          <w:b/>
        </w:rPr>
        <w:t xml:space="preserve"> 200 </w:t>
      </w:r>
      <w:proofErr w:type="spellStart"/>
      <w:r w:rsidR="00901504">
        <w:rPr>
          <w:b/>
        </w:rPr>
        <w:t>GeV</w:t>
      </w:r>
      <w:proofErr w:type="spellEnd"/>
      <w:r w:rsidR="00901504">
        <w:rPr>
          <w:b/>
        </w:rPr>
        <w:t>/</w:t>
      </w:r>
      <w:proofErr w:type="gramStart"/>
      <w:r w:rsidR="00901504">
        <w:rPr>
          <w:b/>
        </w:rPr>
        <w:t xml:space="preserve">c </w:t>
      </w:r>
      <w:r w:rsidR="00E274B8">
        <w:rPr>
          <w:b/>
        </w:rPr>
        <w:t>)</w:t>
      </w:r>
      <w:proofErr w:type="gramEnd"/>
      <w:r w:rsidR="00E274B8">
        <w:rPr>
          <w:b/>
        </w:rPr>
        <w:t xml:space="preserve"> work</w:t>
      </w:r>
      <w:r w:rsidRPr="001C6CE0">
        <w:rPr>
          <w:b/>
        </w:rPr>
        <w:t>:</w:t>
      </w:r>
      <w:r w:rsidRPr="001C6CE0">
        <w:rPr>
          <w:b/>
          <w:sz w:val="22"/>
        </w:rPr>
        <w:t xml:space="preserve"> </w:t>
      </w:r>
    </w:p>
    <w:p w14:paraId="0F2FD901" w14:textId="77777777" w:rsidR="00EC6E1F" w:rsidRDefault="00EC6E1F" w:rsidP="00950492">
      <w:pPr>
        <w:ind w:right="-270"/>
        <w:rPr>
          <w:b/>
        </w:rPr>
      </w:pPr>
    </w:p>
    <w:p w14:paraId="31345F4C" w14:textId="278AB433" w:rsidR="00EC6E1F" w:rsidRDefault="00EC6E1F" w:rsidP="00950492">
      <w:pPr>
        <w:ind w:right="-270"/>
        <w:rPr>
          <w:rFonts w:ascii="Calibri" w:hAnsi="Calibri" w:cs="Calibri"/>
          <w:sz w:val="28"/>
          <w:szCs w:val="28"/>
        </w:rPr>
      </w:pPr>
      <w:r>
        <w:rPr>
          <w:b/>
        </w:rPr>
        <w:t>Calibration</w:t>
      </w:r>
    </w:p>
    <w:p w14:paraId="1A432E6A" w14:textId="77777777" w:rsidR="00E274B8" w:rsidRPr="00E274B8" w:rsidRDefault="00E274B8" w:rsidP="00950492">
      <w:pPr>
        <w:ind w:right="-270"/>
        <w:rPr>
          <w:b/>
          <w:sz w:val="22"/>
        </w:rPr>
      </w:pPr>
    </w:p>
    <w:p w14:paraId="3AB37EA4" w14:textId="144D59AB" w:rsidR="000D07C1" w:rsidRPr="000A75A0" w:rsidRDefault="00E274B8" w:rsidP="000A75A0">
      <w:pPr>
        <w:pStyle w:val="ListParagraph"/>
        <w:numPr>
          <w:ilvl w:val="0"/>
          <w:numId w:val="12"/>
        </w:numPr>
        <w:ind w:right="-270"/>
        <w:rPr>
          <w:rFonts w:cs="Calibri"/>
          <w:szCs w:val="28"/>
        </w:rPr>
      </w:pPr>
      <w:r>
        <w:t xml:space="preserve">The </w:t>
      </w:r>
      <w:r w:rsidRPr="000A75A0">
        <w:rPr>
          <w:rFonts w:cs="Calibri"/>
          <w:szCs w:val="28"/>
        </w:rPr>
        <w:t xml:space="preserve">IST </w:t>
      </w:r>
      <w:r w:rsidR="000A75A0">
        <w:rPr>
          <w:rFonts w:cs="Calibri"/>
          <w:szCs w:val="28"/>
        </w:rPr>
        <w:t>gain calibration work for Run-14 data is quickly advancing</w:t>
      </w:r>
      <w:r w:rsidR="000D07C1" w:rsidRPr="000A75A0">
        <w:rPr>
          <w:rFonts w:cs="Calibri"/>
        </w:rPr>
        <w:t>. </w:t>
      </w:r>
    </w:p>
    <w:p w14:paraId="659FE2C2" w14:textId="1850B09A" w:rsidR="00EC6E1F" w:rsidRPr="00EC6E1F" w:rsidRDefault="00EC6E1F" w:rsidP="000D07C1">
      <w:pPr>
        <w:pStyle w:val="ListParagraph"/>
        <w:numPr>
          <w:ilvl w:val="0"/>
          <w:numId w:val="12"/>
        </w:numPr>
        <w:ind w:right="-270"/>
      </w:pPr>
      <w:r>
        <w:rPr>
          <w:rFonts w:cs="Calibri"/>
        </w:rPr>
        <w:t>Work continues on the SSD software and calibrations.</w:t>
      </w:r>
    </w:p>
    <w:p w14:paraId="7F6D1F24" w14:textId="77777777" w:rsidR="00EC6E1F" w:rsidRPr="000D07C1" w:rsidRDefault="00EC6E1F" w:rsidP="00EC6E1F">
      <w:pPr>
        <w:pStyle w:val="ListParagraph"/>
        <w:ind w:left="768" w:right="-270"/>
      </w:pPr>
    </w:p>
    <w:p w14:paraId="35E5E04F" w14:textId="3D86B608" w:rsidR="00E274B8" w:rsidRPr="00E274B8" w:rsidRDefault="00EC6E1F" w:rsidP="000D07C1">
      <w:pPr>
        <w:ind w:right="-270"/>
      </w:pPr>
      <w:r>
        <w:rPr>
          <w:b/>
        </w:rPr>
        <w:t>Tracking</w:t>
      </w:r>
      <w:r w:rsidR="000A75A0">
        <w:rPr>
          <w:b/>
        </w:rPr>
        <w:t>/</w:t>
      </w:r>
      <w:proofErr w:type="spellStart"/>
      <w:r w:rsidR="000A75A0">
        <w:rPr>
          <w:b/>
        </w:rPr>
        <w:t>Vertexing</w:t>
      </w:r>
      <w:proofErr w:type="spellEnd"/>
    </w:p>
    <w:p w14:paraId="7F44F7FA" w14:textId="77777777" w:rsidR="00EC6E1F" w:rsidRPr="00E274B8" w:rsidRDefault="00EC6E1F" w:rsidP="00EC6E1F">
      <w:pPr>
        <w:ind w:right="-270"/>
        <w:rPr>
          <w:b/>
          <w:sz w:val="22"/>
        </w:rPr>
      </w:pPr>
    </w:p>
    <w:p w14:paraId="14073650" w14:textId="4942762E" w:rsidR="005E0BB3" w:rsidRPr="000A75A0" w:rsidRDefault="00EC6E1F" w:rsidP="005E0BB3">
      <w:pPr>
        <w:pStyle w:val="ListParagraph"/>
        <w:numPr>
          <w:ilvl w:val="0"/>
          <w:numId w:val="14"/>
        </w:numPr>
        <w:ind w:left="768" w:right="-270"/>
      </w:pPr>
      <w:r w:rsidRPr="00EC6E1F">
        <w:t xml:space="preserve">The </w:t>
      </w:r>
      <w:r w:rsidRPr="00EC6E1F">
        <w:rPr>
          <w:rFonts w:cs="Calibri"/>
        </w:rPr>
        <w:t>Main focus is still to set up a baseline tracking geometry together with the S&amp;C group. Several issues have bee</w:t>
      </w:r>
      <w:r w:rsidR="000A75A0">
        <w:rPr>
          <w:rFonts w:cs="Calibri"/>
        </w:rPr>
        <w:t>n identified and now working on</w:t>
      </w:r>
      <w:r w:rsidRPr="00EC6E1F">
        <w:rPr>
          <w:rFonts w:cs="Calibri"/>
        </w:rPr>
        <w:t xml:space="preserve"> the </w:t>
      </w:r>
      <w:proofErr w:type="spellStart"/>
      <w:r w:rsidRPr="00EC6E1F">
        <w:rPr>
          <w:rFonts w:cs="Calibri"/>
        </w:rPr>
        <w:t>Sti</w:t>
      </w:r>
      <w:proofErr w:type="spellEnd"/>
      <w:r w:rsidRPr="00EC6E1F">
        <w:rPr>
          <w:rFonts w:cs="Calibri"/>
        </w:rPr>
        <w:t xml:space="preserve"> geometry</w:t>
      </w:r>
      <w:r w:rsidR="000A75A0">
        <w:rPr>
          <w:rFonts w:cs="Calibri"/>
        </w:rPr>
        <w:t xml:space="preserve"> for IST and SSD</w:t>
      </w:r>
      <w:r w:rsidRPr="00EC6E1F">
        <w:rPr>
          <w:rFonts w:cs="Calibri"/>
        </w:rPr>
        <w:t>.</w:t>
      </w:r>
      <w:r w:rsidR="000A75A0">
        <w:rPr>
          <w:rFonts w:cs="Calibri"/>
        </w:rPr>
        <w:t xml:space="preserve"> The PXL detector geometry seems to be fine.</w:t>
      </w:r>
    </w:p>
    <w:p w14:paraId="15BC900A" w14:textId="3B8D251C" w:rsidR="000A75A0" w:rsidRPr="00EC6E1F" w:rsidRDefault="000A75A0" w:rsidP="005E0BB3">
      <w:pPr>
        <w:pStyle w:val="ListParagraph"/>
        <w:numPr>
          <w:ilvl w:val="0"/>
          <w:numId w:val="14"/>
        </w:numPr>
        <w:ind w:left="768" w:right="-270"/>
      </w:pPr>
      <w:r>
        <w:rPr>
          <w:rFonts w:cs="Calibri"/>
        </w:rPr>
        <w:t xml:space="preserve">A tracking efficiency study in the PXL revealed several issues in </w:t>
      </w:r>
      <w:proofErr w:type="spellStart"/>
      <w:r>
        <w:rPr>
          <w:rFonts w:cs="Calibri"/>
        </w:rPr>
        <w:t>Sti</w:t>
      </w:r>
      <w:proofErr w:type="spellEnd"/>
      <w:r>
        <w:rPr>
          <w:rFonts w:cs="Calibri"/>
        </w:rPr>
        <w:t>, the tracking software</w:t>
      </w:r>
      <w:r w:rsidR="00C21A98">
        <w:rPr>
          <w:rFonts w:cs="Calibri"/>
        </w:rPr>
        <w:t xml:space="preserve">.  </w:t>
      </w:r>
      <w:proofErr w:type="spellStart"/>
      <w:r w:rsidR="00C21A98">
        <w:rPr>
          <w:rFonts w:cs="Calibri"/>
        </w:rPr>
        <w:t>Hao</w:t>
      </w:r>
      <w:proofErr w:type="spellEnd"/>
      <w:r w:rsidR="00C21A98">
        <w:rPr>
          <w:rFonts w:cs="Calibri"/>
        </w:rPr>
        <w:t xml:space="preserve"> </w:t>
      </w:r>
      <w:proofErr w:type="spellStart"/>
      <w:r w:rsidR="00C21A98">
        <w:rPr>
          <w:rFonts w:cs="Calibri"/>
        </w:rPr>
        <w:t>Qiu</w:t>
      </w:r>
      <w:proofErr w:type="spellEnd"/>
      <w:r w:rsidR="00C21A98">
        <w:rPr>
          <w:rFonts w:cs="Calibri"/>
        </w:rPr>
        <w:t>, the author of this study, worked close</w:t>
      </w:r>
      <w:bookmarkStart w:id="2" w:name="_GoBack"/>
      <w:bookmarkEnd w:id="2"/>
      <w:r w:rsidR="00C21A98">
        <w:rPr>
          <w:rFonts w:cs="Calibri"/>
        </w:rPr>
        <w:t>ly with tracking experts at BNL and several issues have been fixed.</w:t>
      </w:r>
    </w:p>
    <w:p w14:paraId="20F99E9E" w14:textId="77C128B3" w:rsidR="00EC6E1F" w:rsidRPr="00EC6E1F" w:rsidRDefault="00EC6E1F" w:rsidP="005E0BB3">
      <w:pPr>
        <w:pStyle w:val="ListParagraph"/>
        <w:numPr>
          <w:ilvl w:val="0"/>
          <w:numId w:val="14"/>
        </w:numPr>
        <w:ind w:left="768" w:right="-270"/>
      </w:pPr>
      <w:r>
        <w:rPr>
          <w:rFonts w:cs="Calibri"/>
        </w:rPr>
        <w:t>A study on verifying and fine-tuning the event vertex fin</w:t>
      </w:r>
      <w:r w:rsidR="000A75A0">
        <w:rPr>
          <w:rFonts w:cs="Calibri"/>
        </w:rPr>
        <w:t>der for events with HFT hits is still in progress</w:t>
      </w:r>
      <w:r>
        <w:rPr>
          <w:rFonts w:cs="Calibri"/>
        </w:rPr>
        <w:t>.</w:t>
      </w:r>
      <w:r w:rsidR="000A75A0">
        <w:rPr>
          <w:rFonts w:cs="Calibri"/>
        </w:rPr>
        <w:t xml:space="preserve"> Several issues have been identified in the </w:t>
      </w:r>
      <w:r w:rsidR="00C21A98">
        <w:rPr>
          <w:rFonts w:cs="Calibri"/>
        </w:rPr>
        <w:t>vertex-ranking</w:t>
      </w:r>
      <w:r w:rsidR="000A75A0">
        <w:rPr>
          <w:rFonts w:cs="Calibri"/>
        </w:rPr>
        <w:t xml:space="preserve"> scheme and an optimization of the criteria is under way.</w:t>
      </w:r>
    </w:p>
    <w:p w14:paraId="0B54AC64" w14:textId="63CAF98C" w:rsidR="004C638E" w:rsidRPr="002D3A64" w:rsidRDefault="004C638E" w:rsidP="004C638E">
      <w:pPr>
        <w:pStyle w:val="Caption"/>
        <w:rPr>
          <w:sz w:val="24"/>
        </w:rPr>
      </w:pPr>
    </w:p>
    <w:sectPr w:rsidR="004C638E" w:rsidRPr="002D3A64" w:rsidSect="00380A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E87"/>
    <w:multiLevelType w:val="hybridMultilevel"/>
    <w:tmpl w:val="AA26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91A07"/>
    <w:multiLevelType w:val="multilevel"/>
    <w:tmpl w:val="071AEA94"/>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4D2709"/>
    <w:multiLevelType w:val="hybridMultilevel"/>
    <w:tmpl w:val="625E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F757A"/>
    <w:multiLevelType w:val="hybridMultilevel"/>
    <w:tmpl w:val="245EA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14694A"/>
    <w:multiLevelType w:val="hybridMultilevel"/>
    <w:tmpl w:val="CB9A8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B1967"/>
    <w:multiLevelType w:val="hybridMultilevel"/>
    <w:tmpl w:val="5534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9B72A3"/>
    <w:multiLevelType w:val="hybridMultilevel"/>
    <w:tmpl w:val="5E1C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F5A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2561B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3D63818"/>
    <w:multiLevelType w:val="hybridMultilevel"/>
    <w:tmpl w:val="40C8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596BED"/>
    <w:multiLevelType w:val="hybridMultilevel"/>
    <w:tmpl w:val="887461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AC4751F"/>
    <w:multiLevelType w:val="hybridMultilevel"/>
    <w:tmpl w:val="FB9C2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AB0FAB"/>
    <w:multiLevelType w:val="hybridMultilevel"/>
    <w:tmpl w:val="885E1D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7D115A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12"/>
  </w:num>
  <w:num w:numId="4">
    <w:abstractNumId w:val="10"/>
  </w:num>
  <w:num w:numId="5">
    <w:abstractNumId w:val="9"/>
  </w:num>
  <w:num w:numId="6">
    <w:abstractNumId w:val="13"/>
  </w:num>
  <w:num w:numId="7">
    <w:abstractNumId w:val="8"/>
  </w:num>
  <w:num w:numId="8">
    <w:abstractNumId w:val="1"/>
  </w:num>
  <w:num w:numId="9">
    <w:abstractNumId w:val="0"/>
  </w:num>
  <w:num w:numId="10">
    <w:abstractNumId w:val="2"/>
  </w:num>
  <w:num w:numId="11">
    <w:abstractNumId w:val="6"/>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A6"/>
    <w:rsid w:val="00001C75"/>
    <w:rsid w:val="00001DC8"/>
    <w:rsid w:val="0001244E"/>
    <w:rsid w:val="00015720"/>
    <w:rsid w:val="00015AEB"/>
    <w:rsid w:val="00025848"/>
    <w:rsid w:val="00031461"/>
    <w:rsid w:val="0007053A"/>
    <w:rsid w:val="00084AFB"/>
    <w:rsid w:val="000877CD"/>
    <w:rsid w:val="00093ED6"/>
    <w:rsid w:val="00094659"/>
    <w:rsid w:val="000A2CBA"/>
    <w:rsid w:val="000A75A0"/>
    <w:rsid w:val="000C2E54"/>
    <w:rsid w:val="000C32B0"/>
    <w:rsid w:val="000D07C1"/>
    <w:rsid w:val="000F3006"/>
    <w:rsid w:val="000F3F7D"/>
    <w:rsid w:val="00103E58"/>
    <w:rsid w:val="001254AE"/>
    <w:rsid w:val="001379DB"/>
    <w:rsid w:val="00142647"/>
    <w:rsid w:val="00160A04"/>
    <w:rsid w:val="00170A16"/>
    <w:rsid w:val="0017453E"/>
    <w:rsid w:val="00175809"/>
    <w:rsid w:val="00186D0C"/>
    <w:rsid w:val="00190BD1"/>
    <w:rsid w:val="001A088A"/>
    <w:rsid w:val="001B15A5"/>
    <w:rsid w:val="001B6745"/>
    <w:rsid w:val="001C5DB5"/>
    <w:rsid w:val="001C6CE0"/>
    <w:rsid w:val="001E2CEC"/>
    <w:rsid w:val="001F185D"/>
    <w:rsid w:val="002035F2"/>
    <w:rsid w:val="00207D16"/>
    <w:rsid w:val="00216804"/>
    <w:rsid w:val="002366E4"/>
    <w:rsid w:val="00241AC0"/>
    <w:rsid w:val="00253EA6"/>
    <w:rsid w:val="002563EB"/>
    <w:rsid w:val="00272791"/>
    <w:rsid w:val="00280B8B"/>
    <w:rsid w:val="002A44A2"/>
    <w:rsid w:val="002B33B5"/>
    <w:rsid w:val="002B43AC"/>
    <w:rsid w:val="002B70A8"/>
    <w:rsid w:val="002C192C"/>
    <w:rsid w:val="002C3A7B"/>
    <w:rsid w:val="002C4B63"/>
    <w:rsid w:val="002C4DEC"/>
    <w:rsid w:val="002C73DF"/>
    <w:rsid w:val="002D0DB4"/>
    <w:rsid w:val="002D33DA"/>
    <w:rsid w:val="002D3A64"/>
    <w:rsid w:val="002E268F"/>
    <w:rsid w:val="002E3062"/>
    <w:rsid w:val="002E3E21"/>
    <w:rsid w:val="002F0B81"/>
    <w:rsid w:val="002F4544"/>
    <w:rsid w:val="00315503"/>
    <w:rsid w:val="00333AF6"/>
    <w:rsid w:val="00347238"/>
    <w:rsid w:val="00350F7E"/>
    <w:rsid w:val="00356BC6"/>
    <w:rsid w:val="00357A4C"/>
    <w:rsid w:val="00361554"/>
    <w:rsid w:val="00380AB0"/>
    <w:rsid w:val="0038294C"/>
    <w:rsid w:val="0038407C"/>
    <w:rsid w:val="00395FA4"/>
    <w:rsid w:val="003B0358"/>
    <w:rsid w:val="003B3896"/>
    <w:rsid w:val="003C46A8"/>
    <w:rsid w:val="003D22B3"/>
    <w:rsid w:val="003E53F0"/>
    <w:rsid w:val="003E6045"/>
    <w:rsid w:val="003F0EA8"/>
    <w:rsid w:val="003F5F2B"/>
    <w:rsid w:val="00400877"/>
    <w:rsid w:val="00405370"/>
    <w:rsid w:val="0041282D"/>
    <w:rsid w:val="004136A3"/>
    <w:rsid w:val="00422907"/>
    <w:rsid w:val="00426EBC"/>
    <w:rsid w:val="0043014B"/>
    <w:rsid w:val="00434072"/>
    <w:rsid w:val="004352DE"/>
    <w:rsid w:val="004369E1"/>
    <w:rsid w:val="00437E17"/>
    <w:rsid w:val="00453CE0"/>
    <w:rsid w:val="0045527E"/>
    <w:rsid w:val="004603C1"/>
    <w:rsid w:val="00463581"/>
    <w:rsid w:val="00467D75"/>
    <w:rsid w:val="00485C4A"/>
    <w:rsid w:val="00486AB7"/>
    <w:rsid w:val="004962EE"/>
    <w:rsid w:val="004A0B46"/>
    <w:rsid w:val="004A5517"/>
    <w:rsid w:val="004B1228"/>
    <w:rsid w:val="004B3A80"/>
    <w:rsid w:val="004C4B79"/>
    <w:rsid w:val="004C638E"/>
    <w:rsid w:val="004D753D"/>
    <w:rsid w:val="004F26FB"/>
    <w:rsid w:val="004F27B7"/>
    <w:rsid w:val="004F5FFF"/>
    <w:rsid w:val="00507400"/>
    <w:rsid w:val="00515336"/>
    <w:rsid w:val="00520B53"/>
    <w:rsid w:val="00537493"/>
    <w:rsid w:val="00537C8E"/>
    <w:rsid w:val="00545C5E"/>
    <w:rsid w:val="00555F2A"/>
    <w:rsid w:val="00571990"/>
    <w:rsid w:val="00577EF4"/>
    <w:rsid w:val="0058046F"/>
    <w:rsid w:val="0058595B"/>
    <w:rsid w:val="00590F08"/>
    <w:rsid w:val="005A385C"/>
    <w:rsid w:val="005A743F"/>
    <w:rsid w:val="005B10AA"/>
    <w:rsid w:val="005B3125"/>
    <w:rsid w:val="005D3CA3"/>
    <w:rsid w:val="005E0BB3"/>
    <w:rsid w:val="005E1969"/>
    <w:rsid w:val="00603BBC"/>
    <w:rsid w:val="00612B09"/>
    <w:rsid w:val="006316EE"/>
    <w:rsid w:val="00635524"/>
    <w:rsid w:val="0064130E"/>
    <w:rsid w:val="00653B8B"/>
    <w:rsid w:val="00690688"/>
    <w:rsid w:val="00690EEE"/>
    <w:rsid w:val="00697496"/>
    <w:rsid w:val="00697912"/>
    <w:rsid w:val="006B70F8"/>
    <w:rsid w:val="006C12DD"/>
    <w:rsid w:val="006C6880"/>
    <w:rsid w:val="006D27C6"/>
    <w:rsid w:val="006E3ADA"/>
    <w:rsid w:val="0070668C"/>
    <w:rsid w:val="0071244F"/>
    <w:rsid w:val="00713881"/>
    <w:rsid w:val="00727B37"/>
    <w:rsid w:val="00731B53"/>
    <w:rsid w:val="00736930"/>
    <w:rsid w:val="00743514"/>
    <w:rsid w:val="0075013B"/>
    <w:rsid w:val="00763BFB"/>
    <w:rsid w:val="00777FBE"/>
    <w:rsid w:val="00783158"/>
    <w:rsid w:val="007B04FC"/>
    <w:rsid w:val="007C2494"/>
    <w:rsid w:val="007C6F4A"/>
    <w:rsid w:val="007D30D1"/>
    <w:rsid w:val="007E7161"/>
    <w:rsid w:val="007F1258"/>
    <w:rsid w:val="007F21A9"/>
    <w:rsid w:val="007F323E"/>
    <w:rsid w:val="0080368A"/>
    <w:rsid w:val="00804B71"/>
    <w:rsid w:val="008133F9"/>
    <w:rsid w:val="0081658D"/>
    <w:rsid w:val="00841CFD"/>
    <w:rsid w:val="008513A6"/>
    <w:rsid w:val="008541C4"/>
    <w:rsid w:val="00883882"/>
    <w:rsid w:val="00887169"/>
    <w:rsid w:val="00894AEA"/>
    <w:rsid w:val="00897082"/>
    <w:rsid w:val="008B4F0A"/>
    <w:rsid w:val="008C0399"/>
    <w:rsid w:val="00901504"/>
    <w:rsid w:val="00913A43"/>
    <w:rsid w:val="0092028B"/>
    <w:rsid w:val="00921752"/>
    <w:rsid w:val="00924133"/>
    <w:rsid w:val="009436C6"/>
    <w:rsid w:val="00945CCF"/>
    <w:rsid w:val="009475E7"/>
    <w:rsid w:val="00950492"/>
    <w:rsid w:val="0098723A"/>
    <w:rsid w:val="00987362"/>
    <w:rsid w:val="00993294"/>
    <w:rsid w:val="009E3013"/>
    <w:rsid w:val="009E3039"/>
    <w:rsid w:val="009F1783"/>
    <w:rsid w:val="009F5946"/>
    <w:rsid w:val="009F671A"/>
    <w:rsid w:val="00A05532"/>
    <w:rsid w:val="00A20DCE"/>
    <w:rsid w:val="00A27E0E"/>
    <w:rsid w:val="00A401C3"/>
    <w:rsid w:val="00A44BFD"/>
    <w:rsid w:val="00A4622E"/>
    <w:rsid w:val="00A46463"/>
    <w:rsid w:val="00A64ED7"/>
    <w:rsid w:val="00A70AA3"/>
    <w:rsid w:val="00AA24E4"/>
    <w:rsid w:val="00AA52A7"/>
    <w:rsid w:val="00AA7003"/>
    <w:rsid w:val="00AB5A96"/>
    <w:rsid w:val="00AB7F7F"/>
    <w:rsid w:val="00AC10AE"/>
    <w:rsid w:val="00AC5922"/>
    <w:rsid w:val="00AC5A09"/>
    <w:rsid w:val="00AC6144"/>
    <w:rsid w:val="00AC6D3B"/>
    <w:rsid w:val="00AE1CDF"/>
    <w:rsid w:val="00AF10E2"/>
    <w:rsid w:val="00B05CBF"/>
    <w:rsid w:val="00B3141F"/>
    <w:rsid w:val="00B4411E"/>
    <w:rsid w:val="00B4547C"/>
    <w:rsid w:val="00B56335"/>
    <w:rsid w:val="00B62239"/>
    <w:rsid w:val="00B85BD2"/>
    <w:rsid w:val="00BA0439"/>
    <w:rsid w:val="00BC795F"/>
    <w:rsid w:val="00BD40FF"/>
    <w:rsid w:val="00BD53C8"/>
    <w:rsid w:val="00BE0484"/>
    <w:rsid w:val="00BE117C"/>
    <w:rsid w:val="00BF08BA"/>
    <w:rsid w:val="00BF0B1B"/>
    <w:rsid w:val="00BF1ED2"/>
    <w:rsid w:val="00C03A48"/>
    <w:rsid w:val="00C100D4"/>
    <w:rsid w:val="00C20421"/>
    <w:rsid w:val="00C21A5E"/>
    <w:rsid w:val="00C21A98"/>
    <w:rsid w:val="00C26B5B"/>
    <w:rsid w:val="00C37242"/>
    <w:rsid w:val="00C41AE9"/>
    <w:rsid w:val="00C53BF1"/>
    <w:rsid w:val="00C57D32"/>
    <w:rsid w:val="00C61920"/>
    <w:rsid w:val="00C62A7B"/>
    <w:rsid w:val="00C7515A"/>
    <w:rsid w:val="00C80379"/>
    <w:rsid w:val="00C818DA"/>
    <w:rsid w:val="00C87E52"/>
    <w:rsid w:val="00CB3215"/>
    <w:rsid w:val="00CB57B8"/>
    <w:rsid w:val="00CC29CC"/>
    <w:rsid w:val="00CD3385"/>
    <w:rsid w:val="00CD5A12"/>
    <w:rsid w:val="00CF684D"/>
    <w:rsid w:val="00D05B25"/>
    <w:rsid w:val="00D061AA"/>
    <w:rsid w:val="00D12094"/>
    <w:rsid w:val="00D16536"/>
    <w:rsid w:val="00D2616F"/>
    <w:rsid w:val="00D31EE0"/>
    <w:rsid w:val="00D50E90"/>
    <w:rsid w:val="00D55E57"/>
    <w:rsid w:val="00D634B9"/>
    <w:rsid w:val="00D66321"/>
    <w:rsid w:val="00D803E2"/>
    <w:rsid w:val="00D91103"/>
    <w:rsid w:val="00D9136A"/>
    <w:rsid w:val="00D95C7E"/>
    <w:rsid w:val="00DA1717"/>
    <w:rsid w:val="00DC0CA0"/>
    <w:rsid w:val="00DC361A"/>
    <w:rsid w:val="00DC63E0"/>
    <w:rsid w:val="00E0691D"/>
    <w:rsid w:val="00E11092"/>
    <w:rsid w:val="00E16FCD"/>
    <w:rsid w:val="00E2594E"/>
    <w:rsid w:val="00E274B8"/>
    <w:rsid w:val="00E3409E"/>
    <w:rsid w:val="00E37CE4"/>
    <w:rsid w:val="00E503AF"/>
    <w:rsid w:val="00E5495E"/>
    <w:rsid w:val="00E56651"/>
    <w:rsid w:val="00E56C5B"/>
    <w:rsid w:val="00E57BD0"/>
    <w:rsid w:val="00E727C1"/>
    <w:rsid w:val="00E76E5C"/>
    <w:rsid w:val="00EA0303"/>
    <w:rsid w:val="00EB3F29"/>
    <w:rsid w:val="00EC6E1F"/>
    <w:rsid w:val="00ED079B"/>
    <w:rsid w:val="00ED0B9F"/>
    <w:rsid w:val="00ED1A67"/>
    <w:rsid w:val="00ED76C9"/>
    <w:rsid w:val="00EE526D"/>
    <w:rsid w:val="00F052FC"/>
    <w:rsid w:val="00F11AF2"/>
    <w:rsid w:val="00F1343C"/>
    <w:rsid w:val="00F255D3"/>
    <w:rsid w:val="00F351FF"/>
    <w:rsid w:val="00F375C0"/>
    <w:rsid w:val="00F50238"/>
    <w:rsid w:val="00F52EF0"/>
    <w:rsid w:val="00F545FB"/>
    <w:rsid w:val="00F76C43"/>
    <w:rsid w:val="00F76D6E"/>
    <w:rsid w:val="00F84D9D"/>
    <w:rsid w:val="00F97329"/>
    <w:rsid w:val="00FB4BB5"/>
    <w:rsid w:val="00FB4C0B"/>
    <w:rsid w:val="00FC4CD4"/>
    <w:rsid w:val="00FD1C07"/>
    <w:rsid w:val="00FD23F1"/>
    <w:rsid w:val="00FD483A"/>
    <w:rsid w:val="00FD565D"/>
    <w:rsid w:val="00FD5F85"/>
    <w:rsid w:val="00FD728B"/>
    <w:rsid w:val="00FE1817"/>
    <w:rsid w:val="00FE6A92"/>
    <w:rsid w:val="00FF4A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D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04732">
      <w:bodyDiv w:val="1"/>
      <w:marLeft w:val="0"/>
      <w:marRight w:val="0"/>
      <w:marTop w:val="0"/>
      <w:marBottom w:val="0"/>
      <w:divBdr>
        <w:top w:val="none" w:sz="0" w:space="0" w:color="auto"/>
        <w:left w:val="none" w:sz="0" w:space="0" w:color="auto"/>
        <w:bottom w:val="none" w:sz="0" w:space="0" w:color="auto"/>
        <w:right w:val="none" w:sz="0" w:space="0" w:color="auto"/>
      </w:divBdr>
    </w:div>
    <w:div w:id="18400747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70E6-4FDD-394C-BDFD-6546F431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552</Words>
  <Characters>3149</Characters>
  <Application>Microsoft Macintosh Word</Application>
  <DocSecurity>0</DocSecurity>
  <Lines>26</Lines>
  <Paragraphs>7</Paragraphs>
  <ScaleCrop>false</ScaleCrop>
  <Company>Kent State University</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Margetis</dc:creator>
  <cp:keywords/>
  <dc:description/>
  <cp:lastModifiedBy>Spyridon Margetis</cp:lastModifiedBy>
  <cp:revision>5</cp:revision>
  <cp:lastPrinted>2013-11-06T14:39:00Z</cp:lastPrinted>
  <dcterms:created xsi:type="dcterms:W3CDTF">2014-10-06T13:48:00Z</dcterms:created>
  <dcterms:modified xsi:type="dcterms:W3CDTF">2014-10-06T14:25:00Z</dcterms:modified>
</cp:coreProperties>
</file>