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001BB2A3" w14:textId="77777777" w:rsidR="00C80379" w:rsidRPr="00463581" w:rsidRDefault="00C80379" w:rsidP="00463581">
      <w:pPr>
        <w:rPr>
          <w:b/>
        </w:rPr>
      </w:pPr>
    </w:p>
    <w:p w14:paraId="4641CDE1" w14:textId="54E385A3" w:rsidR="00697912" w:rsidRDefault="00BE0484" w:rsidP="00950492">
      <w:pPr>
        <w:ind w:right="-270"/>
      </w:pPr>
      <w:r w:rsidRPr="001C6CE0">
        <w:rPr>
          <w:b/>
        </w:rPr>
        <w:t>Run14</w:t>
      </w:r>
      <w:r w:rsidR="009F1783" w:rsidRPr="001C6CE0">
        <w:rPr>
          <w:b/>
        </w:rPr>
        <w:t xml:space="preserve"> (</w:t>
      </w:r>
      <w:proofErr w:type="spellStart"/>
      <w:r w:rsidR="009F1783" w:rsidRPr="001C6CE0">
        <w:rPr>
          <w:b/>
        </w:rPr>
        <w:t>Au+Au</w:t>
      </w:r>
      <w:proofErr w:type="spellEnd"/>
      <w:r w:rsidR="009F1783" w:rsidRPr="001C6CE0">
        <w:rPr>
          <w:b/>
        </w:rPr>
        <w:t xml:space="preserve"> 200 </w:t>
      </w:r>
      <w:proofErr w:type="spellStart"/>
      <w:r w:rsidR="009F1783" w:rsidRPr="001C6CE0">
        <w:rPr>
          <w:b/>
        </w:rPr>
        <w:t>GeV</w:t>
      </w:r>
      <w:proofErr w:type="spellEnd"/>
      <w:r w:rsidR="009F1783" w:rsidRPr="001C6CE0">
        <w:rPr>
          <w:b/>
        </w:rPr>
        <w:t>/c) Fast Offline Analysis</w:t>
      </w:r>
      <w:r w:rsidRPr="001C6CE0">
        <w:rPr>
          <w:b/>
        </w:rPr>
        <w:t>:</w:t>
      </w:r>
      <w:r w:rsidRPr="001C6CE0">
        <w:rPr>
          <w:b/>
          <w:sz w:val="22"/>
        </w:rPr>
        <w:t xml:space="preserve"> </w:t>
      </w:r>
      <w:r w:rsidR="001C6CE0">
        <w:t>During the report period we continue the</w:t>
      </w:r>
      <w:r w:rsidR="006E3ADA">
        <w:t xml:space="preserve"> </w:t>
      </w:r>
      <w:r w:rsidR="00C100D4">
        <w:t>monitoring, QA-</w:t>
      </w:r>
      <w:proofErr w:type="spellStart"/>
      <w:r w:rsidR="00C100D4">
        <w:t>i</w:t>
      </w:r>
      <w:r w:rsidR="001C6CE0">
        <w:t>ng</w:t>
      </w:r>
      <w:proofErr w:type="spellEnd"/>
      <w:r w:rsidR="001C6CE0">
        <w:t xml:space="preserve">, calibrating and analysis of </w:t>
      </w:r>
      <w:r w:rsidR="00EA0303">
        <w:t xml:space="preserve">the </w:t>
      </w:r>
      <w:r w:rsidR="00C100D4">
        <w:t>data</w:t>
      </w:r>
      <w:r w:rsidR="006E3ADA">
        <w:t>.</w:t>
      </w:r>
      <w:r w:rsidR="002D3A64">
        <w:t xml:space="preserve"> </w:t>
      </w:r>
      <w:r w:rsidR="001C6CE0">
        <w:t>Below we report the focus areas of this effort during this period.</w:t>
      </w:r>
    </w:p>
    <w:p w14:paraId="7C8EEC48" w14:textId="77777777" w:rsidR="006E3ADA" w:rsidRDefault="006E3ADA" w:rsidP="00950492">
      <w:pPr>
        <w:ind w:right="-270"/>
      </w:pPr>
    </w:p>
    <w:p w14:paraId="04DFAD10" w14:textId="3E7F5DF9" w:rsidR="00763BFB" w:rsidRDefault="00731B53" w:rsidP="00ED079B">
      <w:pPr>
        <w:pStyle w:val="ListParagraph"/>
        <w:ind w:left="0" w:right="-270"/>
      </w:pPr>
      <w:r w:rsidRPr="00537C8E">
        <w:rPr>
          <w:b/>
        </w:rPr>
        <w:t>Alignment</w:t>
      </w:r>
      <w:r w:rsidR="001C6CE0">
        <w:rPr>
          <w:b/>
        </w:rPr>
        <w:t>:</w:t>
      </w:r>
      <w:r>
        <w:t xml:space="preserve"> [intra-PIXEL</w:t>
      </w:r>
      <w:r w:rsidR="00084AFB">
        <w:t>]</w:t>
      </w:r>
      <w:r w:rsidR="00537C8E">
        <w:t>.</w:t>
      </w:r>
      <w:r w:rsidR="001C6CE0">
        <w:t xml:space="preserve"> The </w:t>
      </w:r>
      <w:r w:rsidR="004A0B46">
        <w:t>fine-tuning</w:t>
      </w:r>
      <w:r w:rsidR="001C6CE0">
        <w:t xml:space="preserve"> of the relative alignment of the PXL detector sectors and halves</w:t>
      </w:r>
      <w:r w:rsidR="004A0B46">
        <w:t xml:space="preserve"> using the</w:t>
      </w:r>
      <w:r w:rsidR="00084AFB">
        <w:t xml:space="preserve"> Magnet-Off, Low-luminosity, </w:t>
      </w:r>
      <w:proofErr w:type="spellStart"/>
      <w:r w:rsidR="00084AFB">
        <w:t>Au+Au</w:t>
      </w:r>
      <w:proofErr w:type="spellEnd"/>
      <w:r w:rsidR="00084AFB">
        <w:t xml:space="preserve"> sample</w:t>
      </w:r>
      <w:r w:rsidR="004A0B46">
        <w:t xml:space="preserve"> is done.</w:t>
      </w:r>
      <w:r w:rsidR="00084AFB">
        <w:t xml:space="preserve"> </w:t>
      </w:r>
      <w:r w:rsidR="008133F9">
        <w:t xml:space="preserve">This run took place about two months after the dedicated cosmic ray run and the main goals are a) to check the stability of the PXL detector during the run and b) to enhance the statistics in the ‘horizontal’ sectors where the cosmic flow is minimal. </w:t>
      </w:r>
      <w:r w:rsidR="004A0B46">
        <w:t>The</w:t>
      </w:r>
      <w:r w:rsidR="002C4B63">
        <w:t xml:space="preserve"> results confirmed</w:t>
      </w:r>
      <w:r w:rsidR="00084AFB">
        <w:t xml:space="preserve"> that the in</w:t>
      </w:r>
      <w:r w:rsidR="004A0B46">
        <w:t xml:space="preserve">itial </w:t>
      </w:r>
      <w:r w:rsidR="004C4B79">
        <w:t>cosmic ray</w:t>
      </w:r>
      <w:r w:rsidR="004A0B46">
        <w:t xml:space="preserve"> </w:t>
      </w:r>
      <w:r w:rsidR="002C4B63">
        <w:t xml:space="preserve">based alignment achieved precisions down to the 10-20 micron level </w:t>
      </w:r>
      <w:r w:rsidR="004A0B46">
        <w:t xml:space="preserve">(left panel in fig 1). </w:t>
      </w:r>
      <w:r w:rsidR="002A44A2">
        <w:t>It also</w:t>
      </w:r>
      <w:r w:rsidR="004A0B46">
        <w:t xml:space="preserve"> appears (fig 1 right panel) that the residual relative misalignments after this fine-tuning are down to a couple of microns.</w:t>
      </w:r>
      <w:r w:rsidR="002A44A2">
        <w:t xml:space="preserve"> A similar analysis on the relative rotation angles shows that after the fine-tuning are </w:t>
      </w:r>
      <w:r w:rsidR="00FD5F85">
        <w:t xml:space="preserve">within 0.1-0.2 </w:t>
      </w:r>
      <w:proofErr w:type="spellStart"/>
      <w:r w:rsidR="00FD5F85">
        <w:t>mrad</w:t>
      </w:r>
      <w:proofErr w:type="spellEnd"/>
      <w:r w:rsidR="00FD5F85">
        <w:t xml:space="preserve"> (a 0.1 </w:t>
      </w:r>
      <w:proofErr w:type="spellStart"/>
      <w:r w:rsidR="00FD5F85">
        <w:t>mrad</w:t>
      </w:r>
      <w:proofErr w:type="spellEnd"/>
      <w:r w:rsidR="00FD5F85">
        <w:t xml:space="preserve"> rotation misalignment can introduce, depending on the position of the sensor, a maximum shift of about 10 microns).</w:t>
      </w:r>
      <w:r w:rsidR="008133F9">
        <w:t xml:space="preserve"> This</w:t>
      </w:r>
      <w:r w:rsidR="007F1258">
        <w:t xml:space="preserve"> PXL alignment</w:t>
      </w:r>
      <w:r w:rsidR="008133F9">
        <w:t xml:space="preserve"> result </w:t>
      </w:r>
      <w:bookmarkStart w:id="0" w:name="_GoBack"/>
      <w:bookmarkEnd w:id="0"/>
      <w:r w:rsidR="008133F9">
        <w:t>and its apparent time stability give us confidence that our original goals of uncertainties comparable to</w:t>
      </w:r>
      <w:r w:rsidR="007F1258">
        <w:t xml:space="preserve"> </w:t>
      </w:r>
      <w:r w:rsidR="008133F9">
        <w:t xml:space="preserve">a </w:t>
      </w:r>
      <w:r w:rsidR="007F1258">
        <w:t>pixel size (~20 microns)</w:t>
      </w:r>
      <w:r w:rsidR="008133F9">
        <w:t xml:space="preserve"> can be achieved</w:t>
      </w:r>
      <w:r w:rsidR="007F1258">
        <w:t>.</w:t>
      </w:r>
    </w:p>
    <w:p w14:paraId="3BD360DE" w14:textId="77777777" w:rsidR="00537C8E" w:rsidRDefault="00537C8E" w:rsidP="00BC795F">
      <w:pPr>
        <w:ind w:right="-270"/>
      </w:pPr>
    </w:p>
    <w:p w14:paraId="5659A22C" w14:textId="740E9FBC" w:rsidR="0045527E" w:rsidRDefault="001C6CE0" w:rsidP="001C6CE0">
      <w:pPr>
        <w:ind w:right="-270"/>
      </w:pPr>
      <w:r>
        <w:rPr>
          <w:noProof/>
          <w:lang w:eastAsia="en-US"/>
        </w:rPr>
        <w:drawing>
          <wp:inline distT="0" distB="0" distL="0" distR="0" wp14:anchorId="222E4086" wp14:editId="4DA18D6B">
            <wp:extent cx="2560955" cy="2963392"/>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7 at 9.51.51 AM.png"/>
                    <pic:cNvPicPr/>
                  </pic:nvPicPr>
                  <pic:blipFill>
                    <a:blip r:embed="rId7">
                      <a:extLst>
                        <a:ext uri="{28A0092B-C50C-407E-A947-70E740481C1C}">
                          <a14:useLocalDpi xmlns:a14="http://schemas.microsoft.com/office/drawing/2010/main" val="0"/>
                        </a:ext>
                      </a:extLst>
                    </a:blip>
                    <a:stretch>
                      <a:fillRect/>
                    </a:stretch>
                  </pic:blipFill>
                  <pic:spPr>
                    <a:xfrm>
                      <a:off x="0" y="0"/>
                      <a:ext cx="2561645" cy="2964191"/>
                    </a:xfrm>
                    <a:prstGeom prst="rect">
                      <a:avLst/>
                    </a:prstGeom>
                  </pic:spPr>
                </pic:pic>
              </a:graphicData>
            </a:graphic>
          </wp:inline>
        </w:drawing>
      </w:r>
      <w:r>
        <w:rPr>
          <w:noProof/>
          <w:lang w:eastAsia="en-US"/>
        </w:rPr>
        <w:drawing>
          <wp:inline distT="0" distB="0" distL="0" distR="0" wp14:anchorId="7012D9EB" wp14:editId="1D6BF7DE">
            <wp:extent cx="2492375" cy="2947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7 at 9.52.16 AM.png"/>
                    <pic:cNvPicPr/>
                  </pic:nvPicPr>
                  <pic:blipFill>
                    <a:blip r:embed="rId8">
                      <a:extLst>
                        <a:ext uri="{28A0092B-C50C-407E-A947-70E740481C1C}">
                          <a14:useLocalDpi xmlns:a14="http://schemas.microsoft.com/office/drawing/2010/main" val="0"/>
                        </a:ext>
                      </a:extLst>
                    </a:blip>
                    <a:stretch>
                      <a:fillRect/>
                    </a:stretch>
                  </pic:blipFill>
                  <pic:spPr>
                    <a:xfrm>
                      <a:off x="0" y="0"/>
                      <a:ext cx="2492438" cy="2947578"/>
                    </a:xfrm>
                    <a:prstGeom prst="rect">
                      <a:avLst/>
                    </a:prstGeom>
                  </pic:spPr>
                </pic:pic>
              </a:graphicData>
            </a:graphic>
          </wp:inline>
        </w:drawing>
      </w:r>
    </w:p>
    <w:p w14:paraId="5D1B0A55" w14:textId="77777777" w:rsidR="004A0B46" w:rsidRDefault="004A0B46" w:rsidP="001C6CE0">
      <w:pPr>
        <w:ind w:right="-270"/>
      </w:pPr>
    </w:p>
    <w:p w14:paraId="49BB24A0" w14:textId="02FE491E" w:rsidR="001C6CE0" w:rsidRPr="002A44A2" w:rsidRDefault="002A44A2" w:rsidP="002A44A2">
      <w:pPr>
        <w:pStyle w:val="Caption"/>
        <w:rPr>
          <w:b w:val="0"/>
          <w:i/>
          <w:color w:val="auto"/>
          <w:sz w:val="22"/>
        </w:rPr>
      </w:pPr>
      <w:r w:rsidRPr="002A44A2">
        <w:rPr>
          <w:b w:val="0"/>
          <w:i/>
          <w:color w:val="auto"/>
          <w:sz w:val="22"/>
        </w:rPr>
        <w:t xml:space="preserve">Figure </w:t>
      </w:r>
      <w:r w:rsidRPr="002A44A2">
        <w:rPr>
          <w:b w:val="0"/>
          <w:i/>
          <w:color w:val="auto"/>
          <w:sz w:val="22"/>
        </w:rPr>
        <w:fldChar w:fldCharType="begin"/>
      </w:r>
      <w:r w:rsidRPr="002A44A2">
        <w:rPr>
          <w:b w:val="0"/>
          <w:i/>
          <w:color w:val="auto"/>
          <w:sz w:val="22"/>
        </w:rPr>
        <w:instrText xml:space="preserve"> SEQ Figure \* ARABIC </w:instrText>
      </w:r>
      <w:r w:rsidRPr="002A44A2">
        <w:rPr>
          <w:b w:val="0"/>
          <w:i/>
          <w:color w:val="auto"/>
          <w:sz w:val="22"/>
        </w:rPr>
        <w:fldChar w:fldCharType="separate"/>
      </w:r>
      <w:r w:rsidR="00DC0CA0">
        <w:rPr>
          <w:b w:val="0"/>
          <w:i/>
          <w:noProof/>
          <w:color w:val="auto"/>
          <w:sz w:val="22"/>
        </w:rPr>
        <w:t>1</w:t>
      </w:r>
      <w:r w:rsidRPr="002A44A2">
        <w:rPr>
          <w:b w:val="0"/>
          <w:i/>
          <w:color w:val="auto"/>
          <w:sz w:val="22"/>
        </w:rPr>
        <w:fldChar w:fldCharType="end"/>
      </w:r>
      <w:r>
        <w:rPr>
          <w:b w:val="0"/>
          <w:i/>
          <w:color w:val="auto"/>
          <w:sz w:val="22"/>
        </w:rPr>
        <w:t>:</w:t>
      </w:r>
      <w:r w:rsidRPr="002A44A2">
        <w:rPr>
          <w:b w:val="0"/>
          <w:i/>
          <w:color w:val="auto"/>
          <w:sz w:val="22"/>
        </w:rPr>
        <w:t xml:space="preserve"> Relative alignment of PXL sectors before (left panel) and after a fine-tuning (right panel). The plots show the relative displacement of Sectors in microns in </w:t>
      </w:r>
      <w:proofErr w:type="spellStart"/>
      <w:r w:rsidRPr="002A44A2">
        <w:rPr>
          <w:b w:val="0"/>
          <w:i/>
          <w:color w:val="auto"/>
          <w:sz w:val="22"/>
        </w:rPr>
        <w:t>dX</w:t>
      </w:r>
      <w:proofErr w:type="spellEnd"/>
      <w:r w:rsidRPr="002A44A2">
        <w:rPr>
          <w:b w:val="0"/>
          <w:i/>
          <w:color w:val="auto"/>
          <w:sz w:val="22"/>
        </w:rPr>
        <w:t xml:space="preserve"> (black), </w:t>
      </w:r>
      <w:proofErr w:type="spellStart"/>
      <w:proofErr w:type="gramStart"/>
      <w:r w:rsidRPr="002A44A2">
        <w:rPr>
          <w:b w:val="0"/>
          <w:i/>
          <w:color w:val="auto"/>
          <w:sz w:val="22"/>
        </w:rPr>
        <w:t>dY</w:t>
      </w:r>
      <w:proofErr w:type="spellEnd"/>
      <w:proofErr w:type="gramEnd"/>
      <w:r w:rsidRPr="002A44A2">
        <w:rPr>
          <w:b w:val="0"/>
          <w:i/>
          <w:color w:val="auto"/>
          <w:sz w:val="22"/>
        </w:rPr>
        <w:t xml:space="preserve"> (red) and </w:t>
      </w:r>
      <w:proofErr w:type="spellStart"/>
      <w:r w:rsidRPr="002A44A2">
        <w:rPr>
          <w:b w:val="0"/>
          <w:i/>
          <w:color w:val="auto"/>
          <w:sz w:val="22"/>
        </w:rPr>
        <w:t>dZ</w:t>
      </w:r>
      <w:proofErr w:type="spellEnd"/>
      <w:r w:rsidRPr="002A44A2">
        <w:rPr>
          <w:b w:val="0"/>
          <w:i/>
          <w:color w:val="auto"/>
          <w:sz w:val="22"/>
        </w:rPr>
        <w:t xml:space="preserve"> (blue).</w:t>
      </w:r>
    </w:p>
    <w:p w14:paraId="47AF623A" w14:textId="77777777" w:rsidR="0045527E" w:rsidRDefault="0045527E" w:rsidP="00BC795F">
      <w:pPr>
        <w:ind w:right="-270"/>
      </w:pPr>
    </w:p>
    <w:p w14:paraId="435E7044" w14:textId="2F3FF193" w:rsidR="00A27E0E" w:rsidRPr="00D061AA" w:rsidRDefault="00E0691D" w:rsidP="00D061AA">
      <w:pPr>
        <w:pStyle w:val="ListParagraph"/>
        <w:ind w:left="0" w:right="-270"/>
        <w:rPr>
          <w:b/>
          <w:bCs/>
          <w:color w:val="4F81BD" w:themeColor="accent1"/>
          <w:sz w:val="18"/>
          <w:szCs w:val="18"/>
        </w:rPr>
      </w:pPr>
      <w:r>
        <w:rPr>
          <w:b/>
        </w:rPr>
        <w:t>Geometry modeling in Tracking:</w:t>
      </w:r>
      <w:r w:rsidR="009E3013">
        <w:t xml:space="preserve"> </w:t>
      </w:r>
      <w:r w:rsidR="002B43AC">
        <w:t xml:space="preserve">Significant effort has been put in the proper modeling of the HFT material in tracking. This is important for proper accounting of </w:t>
      </w:r>
      <w:r w:rsidR="002B43AC">
        <w:lastRenderedPageBreak/>
        <w:t xml:space="preserve">momentum and energy loss of </w:t>
      </w:r>
      <w:r w:rsidR="00D061AA">
        <w:t>tracks as they cross the various layers of the detector. This modeling needs to be done ‘by hand’ so that simpler shapes equivalent in radiation thickness can replace complex structures. Significant understanding and progress in the modeling was done during the report period.</w:t>
      </w:r>
    </w:p>
    <w:p w14:paraId="10F5F766" w14:textId="77777777" w:rsidR="006D27C6" w:rsidRPr="006D27C6" w:rsidRDefault="006D27C6" w:rsidP="002E268F">
      <w:pPr>
        <w:pStyle w:val="ListParagraph"/>
        <w:ind w:left="360" w:right="-270"/>
      </w:pPr>
    </w:p>
    <w:p w14:paraId="4C1E8E6E" w14:textId="4B13F32B" w:rsidR="00C21A5E" w:rsidRDefault="0045527E" w:rsidP="00272791">
      <w:r>
        <w:rPr>
          <w:b/>
        </w:rPr>
        <w:t>Gamma ray tomography</w:t>
      </w:r>
      <w:r w:rsidR="00272791">
        <w:t xml:space="preserve">: </w:t>
      </w:r>
      <w:r w:rsidR="00E16FCD">
        <w:t xml:space="preserve">We </w:t>
      </w:r>
      <w:r w:rsidR="0038294C">
        <w:t xml:space="preserve">started work that can use the gamma ray conversions in the detector material as a way to estimate/verify the actual detector mass and its position in the STAR coordinate system. One of the goals is to determine the relative position of passive and active elements in an absolute way, for example the position of the beam pipe relative to the PXL/STAR system. The figure below is a </w:t>
      </w:r>
      <w:proofErr w:type="spellStart"/>
      <w:r w:rsidR="0038294C">
        <w:t>geant</w:t>
      </w:r>
      <w:proofErr w:type="spellEnd"/>
      <w:r w:rsidR="0038294C">
        <w:t xml:space="preserve"> simulation and it shows the conversion points in STAR. One can easily see (starting from inside) the beam pipe, the PXL trapezoidal sectors, the IST, the SSD and the inner field cage (outer circle) of the TPC. This work is in progress.</w:t>
      </w:r>
    </w:p>
    <w:p w14:paraId="109C04AF" w14:textId="77777777" w:rsidR="0045527E" w:rsidRDefault="0045527E" w:rsidP="00272791"/>
    <w:p w14:paraId="4C6C701C" w14:textId="198F7D1B" w:rsidR="0045527E" w:rsidRDefault="0045527E" w:rsidP="00272791">
      <w:r>
        <w:rPr>
          <w:noProof/>
          <w:lang w:eastAsia="en-US"/>
        </w:rPr>
        <w:drawing>
          <wp:inline distT="0" distB="0" distL="0" distR="0" wp14:anchorId="30BF41C3" wp14:editId="3E3C5824">
            <wp:extent cx="3932555" cy="300112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7 at 9.39.47 AM.png"/>
                    <pic:cNvPicPr/>
                  </pic:nvPicPr>
                  <pic:blipFill>
                    <a:blip r:embed="rId9">
                      <a:extLst>
                        <a:ext uri="{28A0092B-C50C-407E-A947-70E740481C1C}">
                          <a14:useLocalDpi xmlns:a14="http://schemas.microsoft.com/office/drawing/2010/main" val="0"/>
                        </a:ext>
                      </a:extLst>
                    </a:blip>
                    <a:stretch>
                      <a:fillRect/>
                    </a:stretch>
                  </pic:blipFill>
                  <pic:spPr>
                    <a:xfrm>
                      <a:off x="0" y="0"/>
                      <a:ext cx="3933364" cy="3001738"/>
                    </a:xfrm>
                    <a:prstGeom prst="rect">
                      <a:avLst/>
                    </a:prstGeom>
                  </pic:spPr>
                </pic:pic>
              </a:graphicData>
            </a:graphic>
          </wp:inline>
        </w:drawing>
      </w:r>
    </w:p>
    <w:p w14:paraId="57649D66" w14:textId="77777777" w:rsidR="0038294C" w:rsidRDefault="0038294C" w:rsidP="00272791"/>
    <w:p w14:paraId="49F737A8" w14:textId="4786A070" w:rsidR="0038294C" w:rsidRPr="00C87E52" w:rsidRDefault="00C87E52" w:rsidP="00C87E52">
      <w:pPr>
        <w:pStyle w:val="Caption"/>
        <w:rPr>
          <w:b w:val="0"/>
          <w:i/>
          <w:color w:val="auto"/>
          <w:sz w:val="22"/>
        </w:rPr>
      </w:pPr>
      <w:r w:rsidRPr="00C87E52">
        <w:rPr>
          <w:b w:val="0"/>
          <w:i/>
          <w:color w:val="auto"/>
          <w:sz w:val="22"/>
        </w:rPr>
        <w:t xml:space="preserve">Figure </w:t>
      </w:r>
      <w:r w:rsidRPr="00C87E52">
        <w:rPr>
          <w:b w:val="0"/>
          <w:i/>
          <w:color w:val="auto"/>
          <w:sz w:val="22"/>
        </w:rPr>
        <w:fldChar w:fldCharType="begin"/>
      </w:r>
      <w:r w:rsidRPr="00C87E52">
        <w:rPr>
          <w:b w:val="0"/>
          <w:i/>
          <w:color w:val="auto"/>
          <w:sz w:val="22"/>
        </w:rPr>
        <w:instrText xml:space="preserve"> SEQ Figure \* ARABIC </w:instrText>
      </w:r>
      <w:r w:rsidRPr="00C87E52">
        <w:rPr>
          <w:b w:val="0"/>
          <w:i/>
          <w:color w:val="auto"/>
          <w:sz w:val="22"/>
        </w:rPr>
        <w:fldChar w:fldCharType="separate"/>
      </w:r>
      <w:r w:rsidR="00DC0CA0">
        <w:rPr>
          <w:b w:val="0"/>
          <w:i/>
          <w:noProof/>
          <w:color w:val="auto"/>
          <w:sz w:val="22"/>
        </w:rPr>
        <w:t>2</w:t>
      </w:r>
      <w:r w:rsidRPr="00C87E52">
        <w:rPr>
          <w:b w:val="0"/>
          <w:i/>
          <w:color w:val="auto"/>
          <w:sz w:val="22"/>
        </w:rPr>
        <w:fldChar w:fldCharType="end"/>
      </w:r>
      <w:r w:rsidRPr="00C87E52">
        <w:rPr>
          <w:b w:val="0"/>
          <w:i/>
          <w:color w:val="auto"/>
          <w:sz w:val="22"/>
        </w:rPr>
        <w:t xml:space="preserve"> A </w:t>
      </w:r>
      <w:proofErr w:type="spellStart"/>
      <w:r w:rsidRPr="00C87E52">
        <w:rPr>
          <w:b w:val="0"/>
          <w:i/>
          <w:color w:val="auto"/>
          <w:sz w:val="22"/>
        </w:rPr>
        <w:t>Geant</w:t>
      </w:r>
      <w:proofErr w:type="spellEnd"/>
      <w:r w:rsidRPr="00C87E52">
        <w:rPr>
          <w:b w:val="0"/>
          <w:i/>
          <w:color w:val="auto"/>
          <w:sz w:val="22"/>
        </w:rPr>
        <w:t xml:space="preserve"> simulation showing the conversion points of gamma rays in STAR. One sees the outlines of the HFT subsystems inside the inner field cage of the TPC</w:t>
      </w:r>
    </w:p>
    <w:p w14:paraId="130A3B03" w14:textId="776E76A8" w:rsidR="004C638E" w:rsidRDefault="004C638E" w:rsidP="004C638E">
      <w:pPr>
        <w:keepNext/>
      </w:pPr>
    </w:p>
    <w:p w14:paraId="716CF91D" w14:textId="5B308E79" w:rsidR="001C6CE0" w:rsidRDefault="001C6CE0" w:rsidP="001C6CE0">
      <w:pPr>
        <w:pStyle w:val="ListParagraph"/>
        <w:ind w:left="0" w:right="-270"/>
      </w:pPr>
      <w:r>
        <w:rPr>
          <w:b/>
        </w:rPr>
        <w:t xml:space="preserve">Simulation: </w:t>
      </w:r>
      <w:r>
        <w:t xml:space="preserve">A lot of </w:t>
      </w:r>
      <w:r w:rsidR="00C87E52">
        <w:t>work is being put in generating the proper simulations for the KPP/CD4 work. More details will be given in next month’s report.</w:t>
      </w:r>
    </w:p>
    <w:p w14:paraId="572901A2" w14:textId="6F9B9482" w:rsidR="00C87E52" w:rsidRDefault="00C87E52" w:rsidP="001C6CE0">
      <w:pPr>
        <w:pStyle w:val="ListParagraph"/>
        <w:ind w:left="0" w:right="-270"/>
      </w:pPr>
      <w:r>
        <w:t xml:space="preserve">At the same </w:t>
      </w:r>
      <w:proofErr w:type="gramStart"/>
      <w:r>
        <w:t>time work</w:t>
      </w:r>
      <w:proofErr w:type="gramEnd"/>
      <w:r>
        <w:t xml:space="preserve"> is done in modeling the response of the PXL sensors, something that will be used later in detailed, raw signal, simulations for physics. Figure 3 shows a comparison of the</w:t>
      </w:r>
      <w:r w:rsidR="00DC0CA0">
        <w:t xml:space="preserve"> simulated PXL signal response (blue solid line) and real data (red points). This work is in progress but one already sees the remarkable agreement between data and simulation.</w:t>
      </w:r>
    </w:p>
    <w:p w14:paraId="7C9DCA36" w14:textId="77777777" w:rsidR="001C6CE0" w:rsidRDefault="001C6CE0" w:rsidP="001C6CE0">
      <w:pPr>
        <w:pStyle w:val="ListParagraph"/>
        <w:ind w:left="0" w:right="-270"/>
      </w:pPr>
    </w:p>
    <w:p w14:paraId="3FB1FC7F" w14:textId="77777777" w:rsidR="00DC0CA0" w:rsidRDefault="00DC0CA0" w:rsidP="00DC0CA0">
      <w:pPr>
        <w:pStyle w:val="Caption"/>
      </w:pPr>
    </w:p>
    <w:p w14:paraId="4C638369" w14:textId="1EB004BA" w:rsidR="001C6CE0" w:rsidRPr="00DC0CA0" w:rsidRDefault="00DC0CA0" w:rsidP="00DC0CA0">
      <w:pPr>
        <w:pStyle w:val="Caption"/>
        <w:rPr>
          <w:b w:val="0"/>
          <w:i/>
          <w:color w:val="auto"/>
          <w:sz w:val="22"/>
        </w:rPr>
      </w:pPr>
      <w:r w:rsidRPr="00DC0CA0">
        <w:rPr>
          <w:b w:val="0"/>
          <w:i/>
          <w:color w:val="auto"/>
          <w:sz w:val="22"/>
        </w:rPr>
        <w:t xml:space="preserve">Figure </w:t>
      </w:r>
      <w:r w:rsidRPr="00DC0CA0">
        <w:rPr>
          <w:b w:val="0"/>
          <w:i/>
          <w:color w:val="auto"/>
          <w:sz w:val="22"/>
        </w:rPr>
        <w:fldChar w:fldCharType="begin"/>
      </w:r>
      <w:r w:rsidRPr="00DC0CA0">
        <w:rPr>
          <w:b w:val="0"/>
          <w:i/>
          <w:color w:val="auto"/>
          <w:sz w:val="22"/>
        </w:rPr>
        <w:instrText xml:space="preserve"> SEQ Figure \* ARABIC </w:instrText>
      </w:r>
      <w:r w:rsidRPr="00DC0CA0">
        <w:rPr>
          <w:b w:val="0"/>
          <w:i/>
          <w:color w:val="auto"/>
          <w:sz w:val="22"/>
        </w:rPr>
        <w:fldChar w:fldCharType="separate"/>
      </w:r>
      <w:r w:rsidRPr="00DC0CA0">
        <w:rPr>
          <w:b w:val="0"/>
          <w:i/>
          <w:noProof/>
          <w:color w:val="auto"/>
          <w:sz w:val="22"/>
        </w:rPr>
        <w:t>3</w:t>
      </w:r>
      <w:r w:rsidRPr="00DC0CA0">
        <w:rPr>
          <w:b w:val="0"/>
          <w:i/>
          <w:color w:val="auto"/>
          <w:sz w:val="22"/>
        </w:rPr>
        <w:fldChar w:fldCharType="end"/>
      </w:r>
      <w:r>
        <w:rPr>
          <w:b w:val="0"/>
          <w:i/>
          <w:color w:val="auto"/>
          <w:sz w:val="22"/>
        </w:rPr>
        <w:t xml:space="preserve"> </w:t>
      </w:r>
      <w:r w:rsidRPr="00DC0CA0">
        <w:rPr>
          <w:b w:val="0"/>
          <w:i/>
          <w:color w:val="auto"/>
          <w:sz w:val="22"/>
        </w:rPr>
        <w:t>Simulated PXL cluster multiplicity (solid line) comparison with Data (red points).</w:t>
      </w:r>
      <w:r w:rsidR="001C6CE0" w:rsidRPr="00DC0CA0">
        <w:rPr>
          <w:b w:val="0"/>
          <w:i/>
          <w:noProof/>
          <w:color w:val="auto"/>
          <w:sz w:val="22"/>
          <w:lang w:eastAsia="en-US"/>
        </w:rPr>
        <w:drawing>
          <wp:anchor distT="0" distB="0" distL="114300" distR="114300" simplePos="0" relativeHeight="251659264" behindDoc="0" locked="0" layoutInCell="1" allowOverlap="1" wp14:anchorId="61C50EA1" wp14:editId="5FCF308B">
            <wp:simplePos x="0" y="0"/>
            <wp:positionH relativeFrom="column">
              <wp:align>center</wp:align>
            </wp:positionH>
            <wp:positionV relativeFrom="paragraph">
              <wp:posOffset>2540</wp:posOffset>
            </wp:positionV>
            <wp:extent cx="3246755" cy="218059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7 at 9.26.26 AM.png"/>
                    <pic:cNvPicPr/>
                  </pic:nvPicPr>
                  <pic:blipFill>
                    <a:blip r:embed="rId10">
                      <a:extLst>
                        <a:ext uri="{28A0092B-C50C-407E-A947-70E740481C1C}">
                          <a14:useLocalDpi xmlns:a14="http://schemas.microsoft.com/office/drawing/2010/main" val="0"/>
                        </a:ext>
                      </a:extLst>
                    </a:blip>
                    <a:stretch>
                      <a:fillRect/>
                    </a:stretch>
                  </pic:blipFill>
                  <pic:spPr>
                    <a:xfrm>
                      <a:off x="0" y="0"/>
                      <a:ext cx="3246755" cy="2180590"/>
                    </a:xfrm>
                    <a:prstGeom prst="rect">
                      <a:avLst/>
                    </a:prstGeom>
                  </pic:spPr>
                </pic:pic>
              </a:graphicData>
            </a:graphic>
            <wp14:sizeRelH relativeFrom="page">
              <wp14:pctWidth>0</wp14:pctWidth>
            </wp14:sizeRelH>
            <wp14:sizeRelV relativeFrom="page">
              <wp14:pctHeight>0</wp14:pctHeight>
            </wp14:sizeRelV>
          </wp:anchor>
        </w:drawing>
      </w:r>
    </w:p>
    <w:p w14:paraId="20B52E7C" w14:textId="77777777" w:rsidR="001C6CE0" w:rsidRPr="00084AFB" w:rsidRDefault="001C6CE0" w:rsidP="001C6CE0">
      <w:pPr>
        <w:pStyle w:val="ListParagraph"/>
        <w:ind w:left="360" w:right="-270"/>
      </w:pPr>
    </w:p>
    <w:p w14:paraId="4DDC6B1E" w14:textId="09A4DC6B" w:rsidR="0038294C" w:rsidRDefault="0038294C" w:rsidP="0038294C">
      <w:pPr>
        <w:ind w:right="-270"/>
      </w:pPr>
      <w:r>
        <w:rPr>
          <w:b/>
        </w:rPr>
        <w:t>Two-day workshop in Warsaw</w:t>
      </w:r>
      <w:r>
        <w:t xml:space="preserve">: </w:t>
      </w:r>
      <w:proofErr w:type="gramStart"/>
      <w:r>
        <w:t xml:space="preserve">A </w:t>
      </w:r>
      <w:r w:rsidR="00DC0CA0">
        <w:t>two-day workshop was organized by our colleagues in Warsaw as an after-Quark Matter 2014 activity</w:t>
      </w:r>
      <w:proofErr w:type="gramEnd"/>
      <w:r w:rsidR="00DC0CA0">
        <w:t>. The software needs and the available manpower were discussed in detail and a plan was drafted.</w:t>
      </w:r>
      <w:r>
        <w:t xml:space="preserve"> </w:t>
      </w:r>
    </w:p>
    <w:p w14:paraId="1C064CF2" w14:textId="77777777" w:rsidR="0038294C" w:rsidRDefault="0038294C" w:rsidP="0038294C">
      <w:pPr>
        <w:pStyle w:val="ListParagraph"/>
        <w:ind w:right="-270"/>
      </w:pPr>
    </w:p>
    <w:p w14:paraId="0B54AC64" w14:textId="63CAF98C" w:rsidR="004C638E" w:rsidRPr="002D3A64" w:rsidRDefault="004C638E" w:rsidP="004C638E">
      <w:pPr>
        <w:pStyle w:val="Caption"/>
        <w:rPr>
          <w:sz w:val="24"/>
        </w:rPr>
      </w:pPr>
    </w:p>
    <w:sectPr w:rsidR="004C638E" w:rsidRPr="002D3A64"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E87"/>
    <w:multiLevelType w:val="hybridMultilevel"/>
    <w:tmpl w:val="AA2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1A07"/>
    <w:multiLevelType w:val="multilevel"/>
    <w:tmpl w:val="071AEA9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4D2709"/>
    <w:multiLevelType w:val="hybridMultilevel"/>
    <w:tmpl w:val="625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8"/>
  </w:num>
  <w:num w:numId="4">
    <w:abstractNumId w:val="7"/>
  </w:num>
  <w:num w:numId="5">
    <w:abstractNumId w:val="6"/>
  </w:num>
  <w:num w:numId="6">
    <w:abstractNumId w:val="9"/>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244E"/>
    <w:rsid w:val="00015720"/>
    <w:rsid w:val="00015AEB"/>
    <w:rsid w:val="00025848"/>
    <w:rsid w:val="00031461"/>
    <w:rsid w:val="0007053A"/>
    <w:rsid w:val="00084AFB"/>
    <w:rsid w:val="000877CD"/>
    <w:rsid w:val="00093ED6"/>
    <w:rsid w:val="00094659"/>
    <w:rsid w:val="000A2CBA"/>
    <w:rsid w:val="000C2E54"/>
    <w:rsid w:val="000C32B0"/>
    <w:rsid w:val="000F3006"/>
    <w:rsid w:val="000F3F7D"/>
    <w:rsid w:val="00103E58"/>
    <w:rsid w:val="001254AE"/>
    <w:rsid w:val="001379DB"/>
    <w:rsid w:val="00142647"/>
    <w:rsid w:val="00160A04"/>
    <w:rsid w:val="00170A16"/>
    <w:rsid w:val="0017453E"/>
    <w:rsid w:val="00175809"/>
    <w:rsid w:val="00186D0C"/>
    <w:rsid w:val="00190BD1"/>
    <w:rsid w:val="001A088A"/>
    <w:rsid w:val="001B15A5"/>
    <w:rsid w:val="001B6745"/>
    <w:rsid w:val="001C5DB5"/>
    <w:rsid w:val="001C6CE0"/>
    <w:rsid w:val="001F185D"/>
    <w:rsid w:val="002035F2"/>
    <w:rsid w:val="00207D16"/>
    <w:rsid w:val="00216804"/>
    <w:rsid w:val="002366E4"/>
    <w:rsid w:val="00241AC0"/>
    <w:rsid w:val="00253EA6"/>
    <w:rsid w:val="002563EB"/>
    <w:rsid w:val="00272791"/>
    <w:rsid w:val="00280B8B"/>
    <w:rsid w:val="002A44A2"/>
    <w:rsid w:val="002B33B5"/>
    <w:rsid w:val="002B43AC"/>
    <w:rsid w:val="002B70A8"/>
    <w:rsid w:val="002C192C"/>
    <w:rsid w:val="002C3A7B"/>
    <w:rsid w:val="002C4B63"/>
    <w:rsid w:val="002C73DF"/>
    <w:rsid w:val="002D0DB4"/>
    <w:rsid w:val="002D33DA"/>
    <w:rsid w:val="002D3A64"/>
    <w:rsid w:val="002E268F"/>
    <w:rsid w:val="002E3062"/>
    <w:rsid w:val="002E3E21"/>
    <w:rsid w:val="002F0B81"/>
    <w:rsid w:val="002F4544"/>
    <w:rsid w:val="00315503"/>
    <w:rsid w:val="00333AF6"/>
    <w:rsid w:val="00347238"/>
    <w:rsid w:val="00350F7E"/>
    <w:rsid w:val="00356BC6"/>
    <w:rsid w:val="00361554"/>
    <w:rsid w:val="00380AB0"/>
    <w:rsid w:val="0038294C"/>
    <w:rsid w:val="0038407C"/>
    <w:rsid w:val="00395FA4"/>
    <w:rsid w:val="003B0358"/>
    <w:rsid w:val="003B3896"/>
    <w:rsid w:val="003D22B3"/>
    <w:rsid w:val="003E53F0"/>
    <w:rsid w:val="003F0EA8"/>
    <w:rsid w:val="003F5F2B"/>
    <w:rsid w:val="00400877"/>
    <w:rsid w:val="0041282D"/>
    <w:rsid w:val="004136A3"/>
    <w:rsid w:val="00422907"/>
    <w:rsid w:val="00426EBC"/>
    <w:rsid w:val="0043014B"/>
    <w:rsid w:val="00434072"/>
    <w:rsid w:val="004352DE"/>
    <w:rsid w:val="004369E1"/>
    <w:rsid w:val="00437E17"/>
    <w:rsid w:val="00453CE0"/>
    <w:rsid w:val="0045527E"/>
    <w:rsid w:val="004603C1"/>
    <w:rsid w:val="00463581"/>
    <w:rsid w:val="00467D75"/>
    <w:rsid w:val="004962EE"/>
    <w:rsid w:val="004A0B46"/>
    <w:rsid w:val="004A5517"/>
    <w:rsid w:val="004B3A80"/>
    <w:rsid w:val="004C4B79"/>
    <w:rsid w:val="004C638E"/>
    <w:rsid w:val="004F26FB"/>
    <w:rsid w:val="004F27B7"/>
    <w:rsid w:val="004F5FFF"/>
    <w:rsid w:val="00507400"/>
    <w:rsid w:val="00515336"/>
    <w:rsid w:val="00520B53"/>
    <w:rsid w:val="00537493"/>
    <w:rsid w:val="00537C8E"/>
    <w:rsid w:val="00545C5E"/>
    <w:rsid w:val="00555F2A"/>
    <w:rsid w:val="00571990"/>
    <w:rsid w:val="00577EF4"/>
    <w:rsid w:val="0058595B"/>
    <w:rsid w:val="00590F08"/>
    <w:rsid w:val="005A385C"/>
    <w:rsid w:val="005A743F"/>
    <w:rsid w:val="005B10AA"/>
    <w:rsid w:val="005B3125"/>
    <w:rsid w:val="005D3CA3"/>
    <w:rsid w:val="005E1969"/>
    <w:rsid w:val="00603BBC"/>
    <w:rsid w:val="00612B09"/>
    <w:rsid w:val="006316EE"/>
    <w:rsid w:val="00635524"/>
    <w:rsid w:val="0064130E"/>
    <w:rsid w:val="00653B8B"/>
    <w:rsid w:val="00690688"/>
    <w:rsid w:val="00690EEE"/>
    <w:rsid w:val="00697496"/>
    <w:rsid w:val="00697912"/>
    <w:rsid w:val="006B70F8"/>
    <w:rsid w:val="006C12DD"/>
    <w:rsid w:val="006C6880"/>
    <w:rsid w:val="006D27C6"/>
    <w:rsid w:val="006E3ADA"/>
    <w:rsid w:val="0070668C"/>
    <w:rsid w:val="00713881"/>
    <w:rsid w:val="00727B37"/>
    <w:rsid w:val="00731B53"/>
    <w:rsid w:val="00736930"/>
    <w:rsid w:val="00743514"/>
    <w:rsid w:val="0075013B"/>
    <w:rsid w:val="00763BFB"/>
    <w:rsid w:val="00777FBE"/>
    <w:rsid w:val="00783158"/>
    <w:rsid w:val="007B04FC"/>
    <w:rsid w:val="007C2494"/>
    <w:rsid w:val="007F1258"/>
    <w:rsid w:val="007F21A9"/>
    <w:rsid w:val="007F323E"/>
    <w:rsid w:val="0080368A"/>
    <w:rsid w:val="00804B71"/>
    <w:rsid w:val="008133F9"/>
    <w:rsid w:val="0081658D"/>
    <w:rsid w:val="00841CFD"/>
    <w:rsid w:val="008513A6"/>
    <w:rsid w:val="008541C4"/>
    <w:rsid w:val="00883882"/>
    <w:rsid w:val="00887169"/>
    <w:rsid w:val="00894AEA"/>
    <w:rsid w:val="00897082"/>
    <w:rsid w:val="008B4F0A"/>
    <w:rsid w:val="008C0399"/>
    <w:rsid w:val="00913A43"/>
    <w:rsid w:val="0092028B"/>
    <w:rsid w:val="00921752"/>
    <w:rsid w:val="00924133"/>
    <w:rsid w:val="009436C6"/>
    <w:rsid w:val="00945CCF"/>
    <w:rsid w:val="009475E7"/>
    <w:rsid w:val="00950492"/>
    <w:rsid w:val="0098723A"/>
    <w:rsid w:val="00987362"/>
    <w:rsid w:val="00993294"/>
    <w:rsid w:val="009E3013"/>
    <w:rsid w:val="009E3039"/>
    <w:rsid w:val="009F1783"/>
    <w:rsid w:val="009F5946"/>
    <w:rsid w:val="009F671A"/>
    <w:rsid w:val="00A05532"/>
    <w:rsid w:val="00A20DCE"/>
    <w:rsid w:val="00A27E0E"/>
    <w:rsid w:val="00A401C3"/>
    <w:rsid w:val="00A44BFD"/>
    <w:rsid w:val="00A4622E"/>
    <w:rsid w:val="00A46463"/>
    <w:rsid w:val="00A64ED7"/>
    <w:rsid w:val="00A70AA3"/>
    <w:rsid w:val="00AA24E4"/>
    <w:rsid w:val="00AA52A7"/>
    <w:rsid w:val="00AA7003"/>
    <w:rsid w:val="00AB5A96"/>
    <w:rsid w:val="00AB7F7F"/>
    <w:rsid w:val="00AC10AE"/>
    <w:rsid w:val="00AC5922"/>
    <w:rsid w:val="00AC5A09"/>
    <w:rsid w:val="00AC6144"/>
    <w:rsid w:val="00AC6D3B"/>
    <w:rsid w:val="00AE1CDF"/>
    <w:rsid w:val="00AF10E2"/>
    <w:rsid w:val="00B05CBF"/>
    <w:rsid w:val="00B3141F"/>
    <w:rsid w:val="00B4411E"/>
    <w:rsid w:val="00B4547C"/>
    <w:rsid w:val="00B56335"/>
    <w:rsid w:val="00B62239"/>
    <w:rsid w:val="00B85BD2"/>
    <w:rsid w:val="00BA0439"/>
    <w:rsid w:val="00BC795F"/>
    <w:rsid w:val="00BD40FF"/>
    <w:rsid w:val="00BE0484"/>
    <w:rsid w:val="00BE117C"/>
    <w:rsid w:val="00BF08BA"/>
    <w:rsid w:val="00BF0B1B"/>
    <w:rsid w:val="00BF1ED2"/>
    <w:rsid w:val="00C03A48"/>
    <w:rsid w:val="00C100D4"/>
    <w:rsid w:val="00C20421"/>
    <w:rsid w:val="00C21A5E"/>
    <w:rsid w:val="00C26B5B"/>
    <w:rsid w:val="00C37242"/>
    <w:rsid w:val="00C53BF1"/>
    <w:rsid w:val="00C57D32"/>
    <w:rsid w:val="00C61920"/>
    <w:rsid w:val="00C80379"/>
    <w:rsid w:val="00C818DA"/>
    <w:rsid w:val="00C87E52"/>
    <w:rsid w:val="00CB3215"/>
    <w:rsid w:val="00CB57B8"/>
    <w:rsid w:val="00CC29CC"/>
    <w:rsid w:val="00CD3385"/>
    <w:rsid w:val="00CD5A12"/>
    <w:rsid w:val="00CF684D"/>
    <w:rsid w:val="00D05B25"/>
    <w:rsid w:val="00D061AA"/>
    <w:rsid w:val="00D16536"/>
    <w:rsid w:val="00D2616F"/>
    <w:rsid w:val="00D31EE0"/>
    <w:rsid w:val="00D50E90"/>
    <w:rsid w:val="00D55E57"/>
    <w:rsid w:val="00D634B9"/>
    <w:rsid w:val="00D66321"/>
    <w:rsid w:val="00D803E2"/>
    <w:rsid w:val="00D91103"/>
    <w:rsid w:val="00D9136A"/>
    <w:rsid w:val="00D95C7E"/>
    <w:rsid w:val="00DC0CA0"/>
    <w:rsid w:val="00DC361A"/>
    <w:rsid w:val="00DC63E0"/>
    <w:rsid w:val="00E0691D"/>
    <w:rsid w:val="00E11092"/>
    <w:rsid w:val="00E16FCD"/>
    <w:rsid w:val="00E2594E"/>
    <w:rsid w:val="00E3409E"/>
    <w:rsid w:val="00E37CE4"/>
    <w:rsid w:val="00E503AF"/>
    <w:rsid w:val="00E5495E"/>
    <w:rsid w:val="00E56651"/>
    <w:rsid w:val="00E56C5B"/>
    <w:rsid w:val="00E57BD0"/>
    <w:rsid w:val="00E727C1"/>
    <w:rsid w:val="00E76E5C"/>
    <w:rsid w:val="00EA0303"/>
    <w:rsid w:val="00EB3F29"/>
    <w:rsid w:val="00ED079B"/>
    <w:rsid w:val="00ED0B9F"/>
    <w:rsid w:val="00ED1A67"/>
    <w:rsid w:val="00ED76C9"/>
    <w:rsid w:val="00EE526D"/>
    <w:rsid w:val="00F052FC"/>
    <w:rsid w:val="00F11AF2"/>
    <w:rsid w:val="00F1343C"/>
    <w:rsid w:val="00F255D3"/>
    <w:rsid w:val="00F375C0"/>
    <w:rsid w:val="00F50238"/>
    <w:rsid w:val="00F76C43"/>
    <w:rsid w:val="00F76D6E"/>
    <w:rsid w:val="00F84D9D"/>
    <w:rsid w:val="00F97329"/>
    <w:rsid w:val="00FB4BB5"/>
    <w:rsid w:val="00FB4C0B"/>
    <w:rsid w:val="00FC4CD4"/>
    <w:rsid w:val="00FD1C07"/>
    <w:rsid w:val="00FD23F1"/>
    <w:rsid w:val="00FD483A"/>
    <w:rsid w:val="00FD565D"/>
    <w:rsid w:val="00FD5F85"/>
    <w:rsid w:val="00FD728B"/>
    <w:rsid w:val="00FE1817"/>
    <w:rsid w:val="00FE6A92"/>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4732">
      <w:bodyDiv w:val="1"/>
      <w:marLeft w:val="0"/>
      <w:marRight w:val="0"/>
      <w:marTop w:val="0"/>
      <w:marBottom w:val="0"/>
      <w:divBdr>
        <w:top w:val="none" w:sz="0" w:space="0" w:color="auto"/>
        <w:left w:val="none" w:sz="0" w:space="0" w:color="auto"/>
        <w:bottom w:val="none" w:sz="0" w:space="0" w:color="auto"/>
        <w:right w:val="none" w:sz="0" w:space="0" w:color="auto"/>
      </w:divBdr>
    </w:div>
    <w:div w:id="1840074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657E-A509-CC48-99F4-CA82EA96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559</Words>
  <Characters>3190</Characters>
  <Application>Microsoft Macintosh Word</Application>
  <DocSecurity>0</DocSecurity>
  <Lines>26</Lines>
  <Paragraphs>7</Paragraphs>
  <ScaleCrop>false</ScaleCrop>
  <Company>Kent State University</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12</cp:revision>
  <cp:lastPrinted>2013-11-06T14:39:00Z</cp:lastPrinted>
  <dcterms:created xsi:type="dcterms:W3CDTF">2014-06-07T13:11:00Z</dcterms:created>
  <dcterms:modified xsi:type="dcterms:W3CDTF">2014-06-07T16:52:00Z</dcterms:modified>
</cp:coreProperties>
</file>