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119B4C" w14:textId="4BB6C6E2" w:rsidR="00253EA6" w:rsidRPr="00B444DB" w:rsidRDefault="00253EA6" w:rsidP="00253EA6">
      <w:pPr>
        <w:rPr>
          <w:b/>
          <w:bCs/>
          <w:szCs w:val="20"/>
        </w:rPr>
      </w:pPr>
      <w:r w:rsidRPr="00B444DB">
        <w:rPr>
          <w:b/>
          <w:bCs/>
          <w:szCs w:val="20"/>
        </w:rPr>
        <w:t>WBS 1.6 Software</w:t>
      </w:r>
    </w:p>
    <w:p w14:paraId="05343DD1" w14:textId="1EA880C1" w:rsidR="001B6745" w:rsidRDefault="001B6745" w:rsidP="00515336"/>
    <w:p w14:paraId="6181B60D" w14:textId="77777777" w:rsidR="008541C4" w:rsidRDefault="008541C4" w:rsidP="008541C4">
      <w:pPr>
        <w:pStyle w:val="ListParagraph"/>
        <w:ind w:left="450"/>
      </w:pPr>
    </w:p>
    <w:p w14:paraId="18488CA0" w14:textId="66451F11" w:rsidR="00D803E2" w:rsidRDefault="00AF10E2" w:rsidP="00D803E2">
      <w:pPr>
        <w:pStyle w:val="ListParagraph"/>
        <w:numPr>
          <w:ilvl w:val="0"/>
          <w:numId w:val="2"/>
        </w:numPr>
        <w:ind w:left="450" w:firstLine="0"/>
      </w:pPr>
      <w:r>
        <w:t>A</w:t>
      </w:r>
      <w:r w:rsidR="004F5FFF">
        <w:t xml:space="preserve">n internal </w:t>
      </w:r>
      <w:r w:rsidR="00FD23F1">
        <w:t>review on PXL</w:t>
      </w:r>
      <w:r w:rsidR="004F5FFF">
        <w:t xml:space="preserve"> </w:t>
      </w:r>
      <w:r w:rsidR="00CF684D">
        <w:t>Survey and related software procedures has been scheduled for May 17 at BNL</w:t>
      </w:r>
      <w:r w:rsidR="00D803E2">
        <w:t>.</w:t>
      </w:r>
    </w:p>
    <w:p w14:paraId="6E209984" w14:textId="77777777" w:rsidR="005B10AA" w:rsidRDefault="005B10AA" w:rsidP="005B10AA">
      <w:pPr>
        <w:pStyle w:val="ListParagraph"/>
        <w:ind w:left="450"/>
      </w:pPr>
    </w:p>
    <w:p w14:paraId="07947B26" w14:textId="398D066E" w:rsidR="00D803E2" w:rsidRDefault="00D803E2" w:rsidP="00D803E2">
      <w:pPr>
        <w:pStyle w:val="ListParagraph"/>
        <w:numPr>
          <w:ilvl w:val="0"/>
          <w:numId w:val="2"/>
        </w:numPr>
        <w:ind w:left="450" w:firstLine="0"/>
      </w:pPr>
      <w:r>
        <w:t xml:space="preserve">Full Simulations exploring the physics capabilities of various PXL prototype configurations were performed and reported to the Collaboration as part of the </w:t>
      </w:r>
      <w:proofErr w:type="gramStart"/>
      <w:r>
        <w:t>BUR 13/14</w:t>
      </w:r>
      <w:proofErr w:type="gramEnd"/>
      <w:r>
        <w:t xml:space="preserve"> discussions.</w:t>
      </w:r>
      <w:r w:rsidR="00F1343C">
        <w:t xml:space="preserve"> The bottom line is that if we get a few weeks worth of good </w:t>
      </w:r>
      <w:proofErr w:type="spellStart"/>
      <w:r w:rsidR="00F1343C">
        <w:t>mbias</w:t>
      </w:r>
      <w:proofErr w:type="spellEnd"/>
      <w:r w:rsidR="00F1343C">
        <w:t xml:space="preserve"> </w:t>
      </w:r>
      <w:proofErr w:type="spellStart"/>
      <w:r w:rsidR="00F1343C">
        <w:t>Au+Au</w:t>
      </w:r>
      <w:proofErr w:type="spellEnd"/>
      <w:r w:rsidR="00F1343C">
        <w:t xml:space="preserve"> data, we should be able to get initial results on charm cross section and R</w:t>
      </w:r>
      <w:r w:rsidR="00F1343C" w:rsidRPr="00F1343C">
        <w:rPr>
          <w:vertAlign w:val="subscript"/>
        </w:rPr>
        <w:t>CP</w:t>
      </w:r>
      <w:r w:rsidR="00F1343C">
        <w:t xml:space="preserve">, but it is up to the Collaboration to decide its </w:t>
      </w:r>
      <w:proofErr w:type="spellStart"/>
      <w:r w:rsidR="00F1343C">
        <w:t>priorites</w:t>
      </w:r>
      <w:proofErr w:type="spellEnd"/>
      <w:r w:rsidR="00F1343C">
        <w:t>.</w:t>
      </w:r>
    </w:p>
    <w:p w14:paraId="7A9E38FE" w14:textId="77777777" w:rsidR="00AB5A96" w:rsidRDefault="00AB5A96" w:rsidP="00AB5A96"/>
    <w:p w14:paraId="77BF2292" w14:textId="02446313" w:rsidR="00AB5A96" w:rsidRDefault="00AB5A96" w:rsidP="00AB5A96">
      <w:pPr>
        <w:pStyle w:val="ListParagraph"/>
        <w:ind w:left="450"/>
      </w:pPr>
      <w:r>
        <w:rPr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46382089" wp14:editId="49DE6017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34945" cy="1980565"/>
            <wp:effectExtent l="0" t="0" r="8255" b="635"/>
            <wp:wrapSquare wrapText="bothSides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198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US"/>
        </w:rPr>
        <w:drawing>
          <wp:inline distT="0" distB="0" distL="0" distR="0" wp14:anchorId="72BA80CE" wp14:editId="3736EC7B">
            <wp:extent cx="2612750" cy="1987973"/>
            <wp:effectExtent l="0" t="0" r="381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203" cy="198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5DAF1" w14:textId="723C7F4D" w:rsidR="00D66321" w:rsidRDefault="00AB5A96" w:rsidP="00F1343C">
      <w:pPr>
        <w:pStyle w:val="Caption"/>
        <w:ind w:left="450"/>
      </w:pPr>
      <w:r>
        <w:t xml:space="preserve">Figure </w:t>
      </w:r>
      <w:fldSimple w:instr=" SEQ Figure \* ARABIC ">
        <w:r w:rsidR="005A385C">
          <w:rPr>
            <w:noProof/>
          </w:rPr>
          <w:t>1</w:t>
        </w:r>
      </w:fldSimple>
      <w:proofErr w:type="gramStart"/>
      <w:r>
        <w:t xml:space="preserve"> </w:t>
      </w:r>
      <w:r w:rsidRPr="00AB5A96">
        <w:rPr>
          <w:color w:val="auto"/>
        </w:rPr>
        <w:t>Signal significance</w:t>
      </w:r>
      <w:proofErr w:type="gramEnd"/>
      <w:r w:rsidRPr="00AB5A96">
        <w:rPr>
          <w:color w:val="auto"/>
        </w:rPr>
        <w:t xml:space="preserve"> as a function of transverse momentum for a three</w:t>
      </w:r>
      <w:r>
        <w:rPr>
          <w:color w:val="auto"/>
        </w:rPr>
        <w:t>-</w:t>
      </w:r>
      <w:r w:rsidRPr="00AB5A96">
        <w:rPr>
          <w:color w:val="auto"/>
        </w:rPr>
        <w:t xml:space="preserve">sector prototype PXL detector configured as </w:t>
      </w:r>
      <w:r w:rsidRPr="00AB5A96">
        <w:rPr>
          <w:i/>
          <w:color w:val="auto"/>
        </w:rPr>
        <w:t>Adjacent</w:t>
      </w:r>
      <w:r>
        <w:rPr>
          <w:color w:val="auto"/>
        </w:rPr>
        <w:t>-</w:t>
      </w:r>
      <w:r w:rsidRPr="00AB5A96">
        <w:rPr>
          <w:color w:val="auto"/>
        </w:rPr>
        <w:t>sector</w:t>
      </w:r>
      <w:r>
        <w:rPr>
          <w:color w:val="auto"/>
        </w:rPr>
        <w:t>s</w:t>
      </w:r>
      <w:r w:rsidRPr="00AB5A96">
        <w:rPr>
          <w:color w:val="auto"/>
        </w:rPr>
        <w:t xml:space="preserve"> (left panel) or as a </w:t>
      </w:r>
      <w:r w:rsidRPr="00AB5A96">
        <w:rPr>
          <w:i/>
          <w:color w:val="auto"/>
        </w:rPr>
        <w:t>Star</w:t>
      </w:r>
      <w:r w:rsidRPr="00AB5A96">
        <w:rPr>
          <w:color w:val="auto"/>
        </w:rPr>
        <w:t xml:space="preserve"> (right panel).</w:t>
      </w:r>
      <w:r>
        <w:rPr>
          <w:color w:val="auto"/>
        </w:rPr>
        <w:t xml:space="preserve">  Notice the </w:t>
      </w:r>
      <w:r w:rsidR="00F1343C">
        <w:rPr>
          <w:color w:val="auto"/>
        </w:rPr>
        <w:t xml:space="preserve">different (complementary) </w:t>
      </w:r>
      <w:proofErr w:type="spellStart"/>
      <w:r w:rsidR="00F1343C">
        <w:rPr>
          <w:color w:val="auto"/>
        </w:rPr>
        <w:t>p</w:t>
      </w:r>
      <w:r w:rsidR="00F1343C" w:rsidRPr="00F1343C">
        <w:rPr>
          <w:color w:val="auto"/>
          <w:vertAlign w:val="subscript"/>
        </w:rPr>
        <w:t>T</w:t>
      </w:r>
      <w:proofErr w:type="spellEnd"/>
      <w:r w:rsidR="00F1343C">
        <w:rPr>
          <w:color w:val="auto"/>
        </w:rPr>
        <w:t xml:space="preserve"> acceptance of the two configurations.</w:t>
      </w:r>
    </w:p>
    <w:p w14:paraId="00AB7A7D" w14:textId="3318908B" w:rsidR="00743514" w:rsidRDefault="00EB3F29" w:rsidP="00D803E2">
      <w:pPr>
        <w:pStyle w:val="ListParagraph"/>
        <w:numPr>
          <w:ilvl w:val="0"/>
          <w:numId w:val="2"/>
        </w:numPr>
      </w:pPr>
      <w:r>
        <w:t xml:space="preserve">Survey work </w:t>
      </w:r>
      <w:r w:rsidR="00F1343C">
        <w:t>is moving on well on both the PXL and SSD sides</w:t>
      </w:r>
      <w:r w:rsidR="004F26FB">
        <w:t xml:space="preserve">.  </w:t>
      </w:r>
    </w:p>
    <w:p w14:paraId="21D087AF" w14:textId="215E1280" w:rsidR="00577EF4" w:rsidRDefault="00333AF6" w:rsidP="00F1343C">
      <w:pPr>
        <w:pStyle w:val="ListParagraph"/>
        <w:numPr>
          <w:ilvl w:val="1"/>
          <w:numId w:val="2"/>
        </w:numPr>
      </w:pPr>
      <w:r>
        <w:t xml:space="preserve">On the SSD side we started making survey measurements on a ladder shipped from </w:t>
      </w:r>
      <w:proofErr w:type="spellStart"/>
      <w:r>
        <w:t>Subatech</w:t>
      </w:r>
      <w:proofErr w:type="spellEnd"/>
      <w:r>
        <w:t xml:space="preserve">. The figure below shows the ladder resting on the survey machine (left) and some </w:t>
      </w:r>
      <w:proofErr w:type="spellStart"/>
      <w:r>
        <w:t>fiducial</w:t>
      </w:r>
      <w:proofErr w:type="spellEnd"/>
      <w:r>
        <w:t xml:space="preserve"> marks and their relation to sensor strips (right).</w:t>
      </w:r>
    </w:p>
    <w:p w14:paraId="30E85D15" w14:textId="77777777" w:rsidR="00333AF6" w:rsidRDefault="00333AF6" w:rsidP="00333AF6">
      <w:pPr>
        <w:ind w:left="360"/>
      </w:pPr>
    </w:p>
    <w:p w14:paraId="57F2138C" w14:textId="1D4323C8" w:rsidR="00577EF4" w:rsidRDefault="00333AF6" w:rsidP="00577EF4">
      <w:r>
        <w:rPr>
          <w:noProof/>
          <w:lang w:eastAsia="en-US"/>
        </w:rPr>
        <w:drawing>
          <wp:inline distT="0" distB="0" distL="0" distR="0" wp14:anchorId="7AB50E9F" wp14:editId="1F7EB1A2">
            <wp:extent cx="2108835" cy="2116339"/>
            <wp:effectExtent l="0" t="0" r="0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835" cy="2116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3AF6">
        <w:t xml:space="preserve"> </w:t>
      </w:r>
      <w:r>
        <w:rPr>
          <w:noProof/>
          <w:lang w:eastAsia="en-US"/>
        </w:rPr>
        <w:drawing>
          <wp:inline distT="0" distB="0" distL="0" distR="0" wp14:anchorId="5F7EA0AA" wp14:editId="4C7ECDFC">
            <wp:extent cx="3257986" cy="2120477"/>
            <wp:effectExtent l="0" t="0" r="0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675" cy="212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4CCEE" w14:textId="72A8D08D" w:rsidR="00577EF4" w:rsidRDefault="00333AF6" w:rsidP="00333AF6">
      <w:pPr>
        <w:pStyle w:val="Caption"/>
      </w:pPr>
      <w:r>
        <w:t xml:space="preserve">Figure </w:t>
      </w:r>
      <w:fldSimple w:instr=" SEQ Figure \* ARABIC ">
        <w:r w:rsidR="005A385C">
          <w:rPr>
            <w:noProof/>
          </w:rPr>
          <w:t>2</w:t>
        </w:r>
      </w:fldSimple>
      <w:r>
        <w:t xml:space="preserve"> </w:t>
      </w:r>
      <w:r w:rsidRPr="00545C5E">
        <w:rPr>
          <w:color w:val="auto"/>
        </w:rPr>
        <w:t xml:space="preserve">An SSD ladder in the Survey equipment (left) and two </w:t>
      </w:r>
      <w:proofErr w:type="spellStart"/>
      <w:r w:rsidRPr="00545C5E">
        <w:rPr>
          <w:color w:val="auto"/>
        </w:rPr>
        <w:t>fiducial</w:t>
      </w:r>
      <w:proofErr w:type="spellEnd"/>
      <w:r w:rsidRPr="00545C5E">
        <w:rPr>
          <w:color w:val="auto"/>
        </w:rPr>
        <w:t xml:space="preserve"> marks and sensor strips as viewed with the survey camera (right).</w:t>
      </w:r>
    </w:p>
    <w:p w14:paraId="2BBCBEED" w14:textId="4A08B884" w:rsidR="00333AF6" w:rsidRDefault="00333AF6" w:rsidP="00333AF6">
      <w:pPr>
        <w:pStyle w:val="ListParagraph"/>
        <w:numPr>
          <w:ilvl w:val="1"/>
          <w:numId w:val="2"/>
        </w:numPr>
      </w:pPr>
      <w:r>
        <w:lastRenderedPageBreak/>
        <w:t>Initial measurements to determine the gravitational bending (sagging</w:t>
      </w:r>
      <w:r w:rsidR="002D33DA">
        <w:t>) of a ladder as well as repeatability of the measurements in general (see figure below).</w:t>
      </w:r>
    </w:p>
    <w:p w14:paraId="67544494" w14:textId="264AAD15" w:rsidR="006B70F8" w:rsidRDefault="006B70F8" w:rsidP="006B70F8"/>
    <w:p w14:paraId="1B432E85" w14:textId="767A5A0B" w:rsidR="00577EF4" w:rsidRDefault="002D33DA" w:rsidP="006B70F8">
      <w:r>
        <w:rPr>
          <w:noProof/>
          <w:lang w:eastAsia="en-US"/>
        </w:rPr>
        <w:drawing>
          <wp:inline distT="0" distB="0" distL="0" distR="0" wp14:anchorId="199AA406" wp14:editId="3666B78E">
            <wp:extent cx="2336975" cy="1877907"/>
            <wp:effectExtent l="0" t="0" r="0" b="1905"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898" cy="1878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3DA">
        <w:t xml:space="preserve"> </w:t>
      </w:r>
      <w:r>
        <w:rPr>
          <w:noProof/>
          <w:lang w:eastAsia="en-US"/>
        </w:rPr>
        <w:drawing>
          <wp:inline distT="0" distB="0" distL="0" distR="0" wp14:anchorId="7DDEC20E" wp14:editId="24BDAE65">
            <wp:extent cx="2337427" cy="1876637"/>
            <wp:effectExtent l="0" t="0" r="0" b="3175"/>
            <wp:docPr id="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876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81EAD" w14:textId="1E1BCE51" w:rsidR="002D33DA" w:rsidRDefault="002D33DA" w:rsidP="002D33DA">
      <w:pPr>
        <w:pStyle w:val="Caption"/>
        <w:rPr>
          <w:color w:val="auto"/>
        </w:rPr>
      </w:pPr>
      <w:proofErr w:type="gramStart"/>
      <w:r>
        <w:t xml:space="preserve">Figure </w:t>
      </w:r>
      <w:proofErr w:type="gramEnd"/>
      <w:r>
        <w:fldChar w:fldCharType="begin"/>
      </w:r>
      <w:r>
        <w:instrText xml:space="preserve"> SEQ Figure \* ARABIC </w:instrText>
      </w:r>
      <w:r>
        <w:fldChar w:fldCharType="separate"/>
      </w:r>
      <w:r w:rsidR="005A385C">
        <w:rPr>
          <w:noProof/>
        </w:rPr>
        <w:t>3</w:t>
      </w:r>
      <w:r>
        <w:fldChar w:fldCharType="end"/>
      </w:r>
      <w:proofErr w:type="gramStart"/>
      <w:r>
        <w:t xml:space="preserve"> </w:t>
      </w:r>
      <w:r w:rsidRPr="002D33DA">
        <w:rPr>
          <w:color w:val="auto"/>
        </w:rPr>
        <w:t>Measurements of an SSD ladder planarity  (left), showing a max bending of ~400 microns.</w:t>
      </w:r>
      <w:proofErr w:type="gramEnd"/>
      <w:r w:rsidRPr="002D33DA">
        <w:rPr>
          <w:color w:val="auto"/>
        </w:rPr>
        <w:t xml:space="preserve">  The right panel shows results on how repeatable are the measurements of the same ladder but at different times.</w:t>
      </w:r>
    </w:p>
    <w:p w14:paraId="74ED923F" w14:textId="4BB086A4" w:rsidR="002D33DA" w:rsidRDefault="001254AE" w:rsidP="002D33DA">
      <w:pPr>
        <w:pStyle w:val="ListParagraph"/>
        <w:numPr>
          <w:ilvl w:val="1"/>
          <w:numId w:val="2"/>
        </w:numPr>
      </w:pPr>
      <w:r>
        <w:t xml:space="preserve">Initial measurements using a 3-sensor-prototype ladder were performed. The goal was to </w:t>
      </w:r>
      <w:r w:rsidR="00993294">
        <w:t xml:space="preserve">a) determine survey-able </w:t>
      </w:r>
      <w:proofErr w:type="spellStart"/>
      <w:r w:rsidR="00993294">
        <w:t>fiducial</w:t>
      </w:r>
      <w:proofErr w:type="spellEnd"/>
      <w:r w:rsidR="00993294">
        <w:t xml:space="preserve"> structures on the </w:t>
      </w:r>
      <w:proofErr w:type="gramStart"/>
      <w:r w:rsidR="00993294">
        <w:t>sensors,</w:t>
      </w:r>
      <w:proofErr w:type="gramEnd"/>
      <w:r w:rsidR="00993294">
        <w:t xml:space="preserve"> b) program the machine for automatic operation and c) check the sensor planarity when glued on the ladder support. The </w:t>
      </w:r>
      <w:proofErr w:type="gramStart"/>
      <w:r w:rsidR="00993294">
        <w:t>pictures below shows</w:t>
      </w:r>
      <w:proofErr w:type="gramEnd"/>
      <w:r w:rsidR="00993294">
        <w:t xml:space="preserve"> some results on these points.</w:t>
      </w:r>
    </w:p>
    <w:p w14:paraId="0043FF94" w14:textId="77777777" w:rsidR="00993294" w:rsidRDefault="00993294" w:rsidP="00993294">
      <w:pPr>
        <w:pStyle w:val="ListParagraph"/>
        <w:ind w:left="1440"/>
      </w:pPr>
    </w:p>
    <w:p w14:paraId="376D3DEE" w14:textId="3EE0E7BF" w:rsidR="002D33DA" w:rsidRDefault="00993294" w:rsidP="002D33DA">
      <w:r>
        <w:rPr>
          <w:noProof/>
          <w:lang w:eastAsia="en-US"/>
        </w:rPr>
        <w:drawing>
          <wp:inline distT="0" distB="0" distL="0" distR="0" wp14:anchorId="43E7B3CF" wp14:editId="17BBAC0C">
            <wp:extent cx="2450822" cy="2018453"/>
            <wp:effectExtent l="0" t="0" r="0" b="0"/>
            <wp:docPr id="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818" cy="2020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3294">
        <w:t xml:space="preserve"> </w:t>
      </w:r>
      <w:r>
        <w:rPr>
          <w:noProof/>
          <w:lang w:eastAsia="en-US"/>
        </w:rPr>
        <w:drawing>
          <wp:inline distT="0" distB="0" distL="0" distR="0" wp14:anchorId="60737140" wp14:editId="56F1A8B5">
            <wp:extent cx="2337096" cy="2010198"/>
            <wp:effectExtent l="0" t="0" r="0" b="0"/>
            <wp:docPr id="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787" cy="2010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216E0" w14:textId="5B6BC6D8" w:rsidR="00993294" w:rsidRDefault="00993294" w:rsidP="00993294">
      <w:pPr>
        <w:pStyle w:val="Caption"/>
        <w:rPr>
          <w:color w:val="auto"/>
        </w:rPr>
      </w:pPr>
      <w:r>
        <w:t xml:space="preserve">Figure </w:t>
      </w:r>
      <w:fldSimple w:instr=" SEQ Figure \* ARABIC ">
        <w:r w:rsidR="005A385C">
          <w:rPr>
            <w:noProof/>
          </w:rPr>
          <w:t>4</w:t>
        </w:r>
      </w:fldSimple>
      <w:r>
        <w:t xml:space="preserve"> </w:t>
      </w:r>
      <w:r w:rsidRPr="00993294">
        <w:rPr>
          <w:color w:val="auto"/>
        </w:rPr>
        <w:t xml:space="preserve">(Left panel) </w:t>
      </w:r>
      <w:proofErr w:type="gramStart"/>
      <w:r w:rsidRPr="00993294">
        <w:rPr>
          <w:color w:val="auto"/>
        </w:rPr>
        <w:t>The</w:t>
      </w:r>
      <w:proofErr w:type="gramEnd"/>
      <w:r w:rsidRPr="00993294">
        <w:rPr>
          <w:color w:val="auto"/>
        </w:rPr>
        <w:t xml:space="preserve"> 3-chipe prototype ladder. (Right panel) One sensor with two possible </w:t>
      </w:r>
      <w:proofErr w:type="spellStart"/>
      <w:r w:rsidRPr="00993294">
        <w:rPr>
          <w:color w:val="auto"/>
        </w:rPr>
        <w:t>fiducial</w:t>
      </w:r>
      <w:proofErr w:type="spellEnd"/>
      <w:r w:rsidRPr="00993294">
        <w:rPr>
          <w:color w:val="auto"/>
        </w:rPr>
        <w:t xml:space="preserve"> features identified.</w:t>
      </w:r>
    </w:p>
    <w:p w14:paraId="1A9D72FE" w14:textId="3A107359" w:rsidR="00993294" w:rsidRPr="00993294" w:rsidRDefault="00993294" w:rsidP="00993294">
      <w:pPr>
        <w:pStyle w:val="ListParagraph"/>
        <w:numPr>
          <w:ilvl w:val="1"/>
          <w:numId w:val="2"/>
        </w:numPr>
      </w:pPr>
      <w:r>
        <w:t xml:space="preserve">Initial </w:t>
      </w:r>
      <w:r w:rsidR="00175809">
        <w:t xml:space="preserve">draft of PXL survey conventions (e.g. coordinate systems </w:t>
      </w:r>
      <w:proofErr w:type="spellStart"/>
      <w:r w:rsidR="00175809">
        <w:t>etc</w:t>
      </w:r>
      <w:proofErr w:type="spellEnd"/>
      <w:r w:rsidR="00175809">
        <w:t>) and procedures is completed.</w:t>
      </w:r>
    </w:p>
    <w:p w14:paraId="4845A0F6" w14:textId="3A4695C7" w:rsidR="00993294" w:rsidRDefault="00993294" w:rsidP="00993294">
      <w:r>
        <w:rPr>
          <w:noProof/>
          <w:lang w:eastAsia="en-US"/>
        </w:rPr>
        <w:drawing>
          <wp:inline distT="0" distB="0" distL="0" distR="0" wp14:anchorId="28F0D197" wp14:editId="58F8F90A">
            <wp:extent cx="4852035" cy="3163792"/>
            <wp:effectExtent l="0" t="0" r="0" b="11430"/>
            <wp:docPr id="1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035" cy="316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7B623" w14:textId="699C11DE" w:rsidR="00175809" w:rsidRDefault="00175809" w:rsidP="00175809">
      <w:pPr>
        <w:pStyle w:val="Caption"/>
        <w:rPr>
          <w:color w:val="auto"/>
        </w:rPr>
      </w:pPr>
      <w:r>
        <w:t xml:space="preserve">Figure </w:t>
      </w:r>
      <w:fldSimple w:instr=" SEQ Figure \* ARABIC ">
        <w:r w:rsidR="005A385C">
          <w:rPr>
            <w:noProof/>
          </w:rPr>
          <w:t>5</w:t>
        </w:r>
      </w:fldSimple>
      <w:r>
        <w:t xml:space="preserve"> </w:t>
      </w:r>
      <w:r w:rsidRPr="00175809">
        <w:rPr>
          <w:color w:val="auto"/>
        </w:rPr>
        <w:t xml:space="preserve">Space mapping of the 3-sensors on the ladder. Notice that deviations from planarity are </w:t>
      </w:r>
      <w:proofErr w:type="gramStart"/>
      <w:r w:rsidRPr="00175809">
        <w:rPr>
          <w:color w:val="auto"/>
        </w:rPr>
        <w:t>only a</w:t>
      </w:r>
      <w:proofErr w:type="gramEnd"/>
      <w:r w:rsidRPr="00175809">
        <w:rPr>
          <w:color w:val="auto"/>
        </w:rPr>
        <w:t xml:space="preserve"> tens of microns.</w:t>
      </w:r>
    </w:p>
    <w:p w14:paraId="316E3ACC" w14:textId="6ACA0A4F" w:rsidR="00175809" w:rsidRDefault="00913A43" w:rsidP="00175809">
      <w:pPr>
        <w:pStyle w:val="ListParagraph"/>
        <w:numPr>
          <w:ilvl w:val="0"/>
          <w:numId w:val="2"/>
        </w:numPr>
      </w:pPr>
      <w:r>
        <w:t xml:space="preserve">A full simulation was performed in order to determine the hit density background due to electrons generated in peripheral (non-touching) </w:t>
      </w:r>
      <w:proofErr w:type="spellStart"/>
      <w:r>
        <w:t>Au+Au</w:t>
      </w:r>
      <w:proofErr w:type="spellEnd"/>
      <w:r>
        <w:t xml:space="preserve"> electromagnetic interactions. In this simulation the hits coming from spiraling electrons in the PXL layers was also determined. The results show that spiraling accounts for a sizeable fraction of the total number of hits. The results from this study are going to be used in future simulations. The figure below shows the hits/cm</w:t>
      </w:r>
      <w:r w:rsidRPr="00913A43">
        <w:rPr>
          <w:vertAlign w:val="superscript"/>
        </w:rPr>
        <w:t>2</w:t>
      </w:r>
      <w:r>
        <w:t xml:space="preserve"> in the two PXL layers.</w:t>
      </w:r>
    </w:p>
    <w:p w14:paraId="6D968D47" w14:textId="14BABC37" w:rsidR="005A385C" w:rsidRDefault="005A385C" w:rsidP="005A385C">
      <w:r>
        <w:rPr>
          <w:noProof/>
          <w:lang w:eastAsia="en-US"/>
        </w:rPr>
        <w:drawing>
          <wp:inline distT="0" distB="0" distL="0" distR="0" wp14:anchorId="4DCE2DCF" wp14:editId="2F7B4933">
            <wp:extent cx="5080635" cy="2091674"/>
            <wp:effectExtent l="0" t="0" r="0" b="0"/>
            <wp:docPr id="1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45" cy="2092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3F0F0" w14:textId="66FBC5E3" w:rsidR="005A385C" w:rsidRDefault="005A385C" w:rsidP="005A385C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6</w:t>
        </w:r>
      </w:fldSimple>
      <w:r>
        <w:t xml:space="preserve"> </w:t>
      </w:r>
      <w:r w:rsidRPr="005A385C">
        <w:rPr>
          <w:color w:val="auto"/>
        </w:rPr>
        <w:t>Hit densities (hits/cm</w:t>
      </w:r>
      <w:bookmarkStart w:id="0" w:name="_GoBack"/>
      <w:r w:rsidRPr="005A385C">
        <w:rPr>
          <w:color w:val="auto"/>
          <w:vertAlign w:val="superscript"/>
        </w:rPr>
        <w:t>2</w:t>
      </w:r>
      <w:bookmarkEnd w:id="0"/>
      <w:r w:rsidRPr="005A385C">
        <w:rPr>
          <w:color w:val="auto"/>
        </w:rPr>
        <w:t>) in both layers of PXL detector due to UPC electron pileup events.</w:t>
      </w:r>
    </w:p>
    <w:p w14:paraId="1C9F96F0" w14:textId="77777777" w:rsidR="00175809" w:rsidRPr="00175809" w:rsidRDefault="00175809" w:rsidP="00175809"/>
    <w:sectPr w:rsidR="00175809" w:rsidRPr="00175809" w:rsidSect="007C249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4694A"/>
    <w:multiLevelType w:val="hybridMultilevel"/>
    <w:tmpl w:val="CB9A86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9F5A41"/>
    <w:multiLevelType w:val="hybridMultilevel"/>
    <w:tmpl w:val="887461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596BED"/>
    <w:multiLevelType w:val="hybridMultilevel"/>
    <w:tmpl w:val="887461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CAB0FAB"/>
    <w:multiLevelType w:val="hybridMultilevel"/>
    <w:tmpl w:val="885E1DC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EA6"/>
    <w:rsid w:val="00015720"/>
    <w:rsid w:val="00094659"/>
    <w:rsid w:val="001254AE"/>
    <w:rsid w:val="001379DB"/>
    <w:rsid w:val="00142647"/>
    <w:rsid w:val="00170A16"/>
    <w:rsid w:val="00175809"/>
    <w:rsid w:val="001B6745"/>
    <w:rsid w:val="001C5DB5"/>
    <w:rsid w:val="00253EA6"/>
    <w:rsid w:val="002C73DF"/>
    <w:rsid w:val="002D33DA"/>
    <w:rsid w:val="002E3062"/>
    <w:rsid w:val="00333AF6"/>
    <w:rsid w:val="00347238"/>
    <w:rsid w:val="00356BC6"/>
    <w:rsid w:val="004F26FB"/>
    <w:rsid w:val="004F5FFF"/>
    <w:rsid w:val="00515336"/>
    <w:rsid w:val="00545C5E"/>
    <w:rsid w:val="00577EF4"/>
    <w:rsid w:val="005A385C"/>
    <w:rsid w:val="005B10AA"/>
    <w:rsid w:val="00697496"/>
    <w:rsid w:val="006B70F8"/>
    <w:rsid w:val="006C6880"/>
    <w:rsid w:val="00713881"/>
    <w:rsid w:val="00736930"/>
    <w:rsid w:val="00743514"/>
    <w:rsid w:val="00777FBE"/>
    <w:rsid w:val="007C2494"/>
    <w:rsid w:val="008541C4"/>
    <w:rsid w:val="00913A43"/>
    <w:rsid w:val="0098723A"/>
    <w:rsid w:val="00993294"/>
    <w:rsid w:val="00A401C3"/>
    <w:rsid w:val="00A70AA3"/>
    <w:rsid w:val="00AA52A7"/>
    <w:rsid w:val="00AB5A96"/>
    <w:rsid w:val="00AF10E2"/>
    <w:rsid w:val="00B4411E"/>
    <w:rsid w:val="00B56335"/>
    <w:rsid w:val="00BF0B1B"/>
    <w:rsid w:val="00CB3215"/>
    <w:rsid w:val="00CD5A12"/>
    <w:rsid w:val="00CF684D"/>
    <w:rsid w:val="00D50E90"/>
    <w:rsid w:val="00D66321"/>
    <w:rsid w:val="00D803E2"/>
    <w:rsid w:val="00EB3F29"/>
    <w:rsid w:val="00ED76C9"/>
    <w:rsid w:val="00F11AF2"/>
    <w:rsid w:val="00F1343C"/>
    <w:rsid w:val="00FD23F1"/>
    <w:rsid w:val="00FD728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2BDA7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3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B5A96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3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B5A96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emf"/><Relationship Id="rId12" Type="http://schemas.openxmlformats.org/officeDocument/2006/relationships/image" Target="media/image7.emf"/><Relationship Id="rId13" Type="http://schemas.openxmlformats.org/officeDocument/2006/relationships/image" Target="media/image8.emf"/><Relationship Id="rId14" Type="http://schemas.openxmlformats.org/officeDocument/2006/relationships/image" Target="media/image9.emf"/><Relationship Id="rId15" Type="http://schemas.openxmlformats.org/officeDocument/2006/relationships/image" Target="media/image10.emf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image" Target="media/image2.emf"/><Relationship Id="rId8" Type="http://schemas.openxmlformats.org/officeDocument/2006/relationships/image" Target="media/image3.emf"/><Relationship Id="rId9" Type="http://schemas.openxmlformats.org/officeDocument/2006/relationships/image" Target="media/image4.emf"/><Relationship Id="rId10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448</Words>
  <Characters>2554</Characters>
  <Application>Microsoft Macintosh Word</Application>
  <DocSecurity>0</DocSecurity>
  <Lines>21</Lines>
  <Paragraphs>5</Paragraphs>
  <ScaleCrop>false</ScaleCrop>
  <Company>Kent State University</Company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Spyridon Margetis</dc:creator>
  <cp:keywords/>
  <dc:description/>
  <cp:lastModifiedBy>Spyridon Margetis</cp:lastModifiedBy>
  <cp:revision>24</cp:revision>
  <cp:lastPrinted>2011-11-08T14:41:00Z</cp:lastPrinted>
  <dcterms:created xsi:type="dcterms:W3CDTF">2012-01-08T15:51:00Z</dcterms:created>
  <dcterms:modified xsi:type="dcterms:W3CDTF">2012-05-03T17:30:00Z</dcterms:modified>
</cp:coreProperties>
</file>