
<file path=[Content_Types].xml><?xml version="1.0" encoding="utf-8"?>
<Types xmlns="http://schemas.openxmlformats.org/package/2006/content-types">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numbering.xml" ContentType="application/vnd.openxmlformats-officedocument.wordprocessingml.numbering+xml"/>
  <Override PartName="/word/theme/theme1.xml" ContentType="application/vnd.openxmlformats-officedocument.theme+xml"/>
  <Override PartName="/word/document.xml" ContentType="application/vnd.openxmlformats-officedocument.wordprocessingml.document.main+xml"/>
  <Default Extension="jpeg" ContentType="image/jpeg"/>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60D5" w:rsidRDefault="001560D5" w:rsidP="001560D5">
      <w:pPr>
        <w:jc w:val="center"/>
      </w:pPr>
    </w:p>
    <w:p w:rsidR="001560D5" w:rsidRDefault="001560D5" w:rsidP="001560D5">
      <w:pPr>
        <w:jc w:val="center"/>
      </w:pPr>
    </w:p>
    <w:p w:rsidR="001560D5" w:rsidRDefault="001560D5" w:rsidP="001560D5">
      <w:pPr>
        <w:jc w:val="center"/>
      </w:pPr>
    </w:p>
    <w:p w:rsidR="001560D5" w:rsidRDefault="001560D5" w:rsidP="001560D5">
      <w:pPr>
        <w:jc w:val="center"/>
      </w:pPr>
    </w:p>
    <w:p w:rsidR="001560D5" w:rsidRDefault="001560D5" w:rsidP="001560D5">
      <w:pPr>
        <w:jc w:val="center"/>
      </w:pPr>
    </w:p>
    <w:p w:rsidR="001560D5" w:rsidRDefault="001560D5" w:rsidP="001560D5">
      <w:pPr>
        <w:jc w:val="center"/>
      </w:pPr>
    </w:p>
    <w:p w:rsidR="001560D5" w:rsidRPr="00CA55AE" w:rsidRDefault="001560D5" w:rsidP="001560D5">
      <w:pPr>
        <w:jc w:val="center"/>
        <w:rPr>
          <w:b/>
          <w:sz w:val="44"/>
        </w:rPr>
      </w:pPr>
      <w:r w:rsidRPr="00CA55AE">
        <w:rPr>
          <w:b/>
          <w:sz w:val="44"/>
        </w:rPr>
        <w:t>HFT</w:t>
      </w:r>
    </w:p>
    <w:p w:rsidR="001560D5" w:rsidRPr="00CA55AE" w:rsidRDefault="001560D5" w:rsidP="001560D5">
      <w:pPr>
        <w:jc w:val="center"/>
        <w:rPr>
          <w:b/>
          <w:sz w:val="44"/>
        </w:rPr>
      </w:pPr>
      <w:r w:rsidRPr="00CA55AE">
        <w:rPr>
          <w:b/>
          <w:sz w:val="44"/>
        </w:rPr>
        <w:t>Heavy Flavor Tracker</w:t>
      </w:r>
    </w:p>
    <w:p w:rsidR="001560D5" w:rsidRDefault="001560D5" w:rsidP="001560D5">
      <w:pPr>
        <w:jc w:val="center"/>
      </w:pPr>
    </w:p>
    <w:p w:rsidR="001560D5" w:rsidRDefault="001560D5" w:rsidP="001560D5">
      <w:pPr>
        <w:jc w:val="center"/>
      </w:pPr>
    </w:p>
    <w:p w:rsidR="001560D5" w:rsidRDefault="001560D5" w:rsidP="001560D5">
      <w:pPr>
        <w:jc w:val="center"/>
      </w:pPr>
    </w:p>
    <w:p w:rsidR="001560D5" w:rsidRDefault="001560D5" w:rsidP="001560D5">
      <w:pPr>
        <w:jc w:val="center"/>
      </w:pPr>
    </w:p>
    <w:p w:rsidR="001560D5" w:rsidRDefault="001560D5" w:rsidP="001560D5">
      <w:pPr>
        <w:jc w:val="center"/>
      </w:pPr>
    </w:p>
    <w:p w:rsidR="001560D5" w:rsidRDefault="001560D5" w:rsidP="001560D5">
      <w:pPr>
        <w:jc w:val="center"/>
      </w:pPr>
    </w:p>
    <w:p w:rsidR="001560D5" w:rsidRDefault="001560D5" w:rsidP="001560D5">
      <w:pPr>
        <w:jc w:val="center"/>
      </w:pPr>
    </w:p>
    <w:p w:rsidR="001560D5" w:rsidRDefault="001560D5" w:rsidP="001560D5">
      <w:pPr>
        <w:jc w:val="center"/>
      </w:pPr>
      <w:r>
        <w:t>MONTHLY REPORT</w:t>
      </w:r>
    </w:p>
    <w:p w:rsidR="001560D5" w:rsidRDefault="001560D5" w:rsidP="001560D5">
      <w:pPr>
        <w:jc w:val="center"/>
      </w:pPr>
    </w:p>
    <w:p w:rsidR="00CA55AE" w:rsidRDefault="000553B3" w:rsidP="001560D5">
      <w:pPr>
        <w:jc w:val="center"/>
      </w:pPr>
      <w:r>
        <w:t>August</w:t>
      </w:r>
      <w:r w:rsidR="00316D06">
        <w:t xml:space="preserve"> </w:t>
      </w:r>
      <w:r w:rsidR="001560D5">
        <w:t xml:space="preserve"> 1-31, 2010</w:t>
      </w:r>
    </w:p>
    <w:p w:rsidR="00CA55AE" w:rsidRDefault="00CA55AE" w:rsidP="001560D5">
      <w:pPr>
        <w:jc w:val="center"/>
      </w:pPr>
    </w:p>
    <w:p w:rsidR="00CA55AE" w:rsidRDefault="00CA55AE" w:rsidP="001560D5">
      <w:pPr>
        <w:jc w:val="center"/>
      </w:pPr>
    </w:p>
    <w:p w:rsidR="00CA55AE" w:rsidRDefault="00CA55AE" w:rsidP="001560D5">
      <w:pPr>
        <w:jc w:val="center"/>
      </w:pPr>
    </w:p>
    <w:p w:rsidR="00CA55AE" w:rsidRDefault="00CA55AE" w:rsidP="001560D5">
      <w:pPr>
        <w:jc w:val="center"/>
      </w:pPr>
    </w:p>
    <w:p w:rsidR="00CA55AE" w:rsidRDefault="00CA55AE" w:rsidP="001560D5">
      <w:pPr>
        <w:jc w:val="cente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BF"/>
      </w:tblPr>
      <w:tblGrid>
        <w:gridCol w:w="4428"/>
        <w:gridCol w:w="4428"/>
      </w:tblGrid>
      <w:tr w:rsidR="00CA55AE">
        <w:tc>
          <w:tcPr>
            <w:tcW w:w="4428" w:type="dxa"/>
          </w:tcPr>
          <w:p w:rsidR="00CA55AE" w:rsidRDefault="00CA55AE" w:rsidP="00CA55AE">
            <w:r>
              <w:t>Performing Organization</w:t>
            </w:r>
          </w:p>
        </w:tc>
        <w:tc>
          <w:tcPr>
            <w:tcW w:w="4428" w:type="dxa"/>
          </w:tcPr>
          <w:p w:rsidR="00CA55AE" w:rsidRDefault="00CA55AE" w:rsidP="00CA55AE">
            <w:r>
              <w:t>Brookhaven Science Associates</w:t>
            </w:r>
          </w:p>
        </w:tc>
      </w:tr>
      <w:tr w:rsidR="00CA55AE">
        <w:trPr>
          <w:trHeight w:val="134"/>
        </w:trPr>
        <w:tc>
          <w:tcPr>
            <w:tcW w:w="4428" w:type="dxa"/>
          </w:tcPr>
          <w:p w:rsidR="00CA55AE" w:rsidRDefault="00CA55AE" w:rsidP="00CA55AE">
            <w:r>
              <w:t>Location:</w:t>
            </w:r>
          </w:p>
        </w:tc>
        <w:tc>
          <w:tcPr>
            <w:tcW w:w="4428" w:type="dxa"/>
          </w:tcPr>
          <w:p w:rsidR="00CA55AE" w:rsidRDefault="00CA55AE" w:rsidP="00CA55AE">
            <w:r>
              <w:t>Brookhaven National Laboratory</w:t>
            </w:r>
          </w:p>
        </w:tc>
      </w:tr>
      <w:tr w:rsidR="00CA55AE">
        <w:trPr>
          <w:trHeight w:val="134"/>
        </w:trPr>
        <w:tc>
          <w:tcPr>
            <w:tcW w:w="4428" w:type="dxa"/>
          </w:tcPr>
          <w:p w:rsidR="00CA55AE" w:rsidRDefault="00CA55AE" w:rsidP="00CA55AE"/>
        </w:tc>
        <w:tc>
          <w:tcPr>
            <w:tcW w:w="4428" w:type="dxa"/>
          </w:tcPr>
          <w:p w:rsidR="00CA55AE" w:rsidRDefault="00CA55AE" w:rsidP="00CA55AE">
            <w:r>
              <w:t>Upton, New York 11973-5000</w:t>
            </w:r>
          </w:p>
        </w:tc>
      </w:tr>
      <w:tr w:rsidR="00CA55AE">
        <w:trPr>
          <w:trHeight w:val="134"/>
        </w:trPr>
        <w:tc>
          <w:tcPr>
            <w:tcW w:w="4428" w:type="dxa"/>
          </w:tcPr>
          <w:p w:rsidR="00CA55AE" w:rsidRDefault="00CA55AE" w:rsidP="00CA55AE"/>
        </w:tc>
        <w:tc>
          <w:tcPr>
            <w:tcW w:w="4428" w:type="dxa"/>
          </w:tcPr>
          <w:p w:rsidR="00CA55AE" w:rsidRDefault="00CA55AE" w:rsidP="00CA55AE"/>
          <w:p w:rsidR="00CA55AE" w:rsidRDefault="00CA55AE" w:rsidP="00CA55AE"/>
        </w:tc>
      </w:tr>
      <w:tr w:rsidR="00CA55AE">
        <w:trPr>
          <w:trHeight w:val="134"/>
        </w:trPr>
        <w:tc>
          <w:tcPr>
            <w:tcW w:w="4428" w:type="dxa"/>
          </w:tcPr>
          <w:p w:rsidR="00CA55AE" w:rsidRDefault="00CB0661" w:rsidP="00CA55AE">
            <w:r>
              <w:t>Contract Period of P</w:t>
            </w:r>
            <w:r w:rsidR="00CA55AE">
              <w:t>erformance</w:t>
            </w:r>
          </w:p>
        </w:tc>
        <w:tc>
          <w:tcPr>
            <w:tcW w:w="4428" w:type="dxa"/>
          </w:tcPr>
          <w:p w:rsidR="00CA55AE" w:rsidRDefault="00CA55AE" w:rsidP="00CA55AE">
            <w:r>
              <w:t>FY2010-FY2014</w:t>
            </w:r>
          </w:p>
        </w:tc>
      </w:tr>
    </w:tbl>
    <w:p w:rsidR="00CA55AE" w:rsidRDefault="00CA55AE" w:rsidP="00CA55AE">
      <w:pPr>
        <w:jc w:val="center"/>
      </w:pPr>
    </w:p>
    <w:p w:rsidR="00CA55AE" w:rsidRDefault="00CA55AE" w:rsidP="00CA55AE">
      <w:pPr>
        <w:jc w:val="center"/>
      </w:pPr>
    </w:p>
    <w:p w:rsidR="00005C23" w:rsidRPr="00005C23" w:rsidRDefault="00CA55AE" w:rsidP="00005C23">
      <w:pPr>
        <w:pStyle w:val="Default"/>
        <w:jc w:val="center"/>
        <w:rPr>
          <w:sz w:val="28"/>
          <w:szCs w:val="20"/>
        </w:rPr>
      </w:pPr>
      <w:r>
        <w:br w:type="page"/>
      </w:r>
      <w:r w:rsidR="00005C23" w:rsidRPr="00005C23">
        <w:rPr>
          <w:b/>
          <w:bCs/>
          <w:sz w:val="28"/>
          <w:szCs w:val="20"/>
        </w:rPr>
        <w:t xml:space="preserve">Brookhaven National Laboratory </w:t>
      </w:r>
    </w:p>
    <w:p w:rsidR="00005C23" w:rsidRPr="00005C23" w:rsidRDefault="00005C23" w:rsidP="00005C23">
      <w:pPr>
        <w:pStyle w:val="Default"/>
        <w:jc w:val="center"/>
        <w:rPr>
          <w:sz w:val="28"/>
          <w:szCs w:val="20"/>
        </w:rPr>
      </w:pPr>
      <w:r w:rsidRPr="00005C23">
        <w:rPr>
          <w:b/>
          <w:bCs/>
          <w:sz w:val="28"/>
          <w:szCs w:val="20"/>
        </w:rPr>
        <w:t xml:space="preserve">HFT MONTHLY PROGRESS REPORT </w:t>
      </w:r>
    </w:p>
    <w:p w:rsidR="00CB0661" w:rsidRDefault="000553B3" w:rsidP="00005C23">
      <w:pPr>
        <w:jc w:val="center"/>
        <w:rPr>
          <w:b/>
          <w:bCs/>
          <w:sz w:val="28"/>
          <w:szCs w:val="20"/>
        </w:rPr>
      </w:pPr>
      <w:r>
        <w:rPr>
          <w:b/>
          <w:bCs/>
          <w:sz w:val="28"/>
          <w:szCs w:val="20"/>
        </w:rPr>
        <w:t>August</w:t>
      </w:r>
      <w:r w:rsidR="00B444DB">
        <w:rPr>
          <w:b/>
          <w:bCs/>
          <w:sz w:val="28"/>
          <w:szCs w:val="20"/>
        </w:rPr>
        <w:t xml:space="preserve"> </w:t>
      </w:r>
      <w:r w:rsidR="00005C23">
        <w:rPr>
          <w:b/>
          <w:bCs/>
          <w:sz w:val="28"/>
          <w:szCs w:val="20"/>
        </w:rPr>
        <w:t>2010</w:t>
      </w:r>
    </w:p>
    <w:p w:rsidR="00CB0661" w:rsidRDefault="00CB0661" w:rsidP="00005C23">
      <w:pPr>
        <w:jc w:val="center"/>
        <w:rPr>
          <w:b/>
          <w:bCs/>
          <w:sz w:val="28"/>
          <w:szCs w:val="20"/>
        </w:rPr>
      </w:pPr>
    </w:p>
    <w:p w:rsidR="00CB0661" w:rsidRDefault="00CB0661" w:rsidP="00005C23">
      <w:pPr>
        <w:jc w:val="center"/>
        <w:rPr>
          <w:b/>
          <w:bCs/>
          <w:sz w:val="28"/>
          <w:szCs w:val="20"/>
        </w:rPr>
      </w:pPr>
    </w:p>
    <w:p w:rsidR="00B444DB" w:rsidRDefault="00B444DB" w:rsidP="00B444DB">
      <w:pPr>
        <w:pStyle w:val="Default"/>
        <w:rPr>
          <w:sz w:val="22"/>
          <w:szCs w:val="22"/>
        </w:rPr>
      </w:pPr>
      <w:r>
        <w:rPr>
          <w:b/>
          <w:bCs/>
          <w:sz w:val="22"/>
          <w:szCs w:val="22"/>
        </w:rPr>
        <w:t xml:space="preserve">I. </w:t>
      </w:r>
      <w:r w:rsidRPr="00B444DB">
        <w:rPr>
          <w:b/>
          <w:bCs/>
          <w:szCs w:val="22"/>
        </w:rPr>
        <w:t>Contractor Project Manager’s Assessment</w:t>
      </w:r>
      <w:r>
        <w:rPr>
          <w:b/>
          <w:bCs/>
          <w:sz w:val="22"/>
          <w:szCs w:val="22"/>
        </w:rPr>
        <w:t xml:space="preserve"> </w:t>
      </w:r>
    </w:p>
    <w:p w:rsidR="00B444DB" w:rsidRDefault="00B444DB" w:rsidP="00B444DB">
      <w:pPr>
        <w:pStyle w:val="Default"/>
        <w:rPr>
          <w:sz w:val="22"/>
          <w:szCs w:val="22"/>
          <w:u w:val="single"/>
        </w:rPr>
      </w:pPr>
    </w:p>
    <w:p w:rsidR="00B444DB" w:rsidRDefault="00B444DB" w:rsidP="00B444DB">
      <w:pPr>
        <w:pStyle w:val="Default"/>
        <w:rPr>
          <w:sz w:val="22"/>
          <w:szCs w:val="22"/>
        </w:rPr>
      </w:pPr>
      <w:r>
        <w:rPr>
          <w:sz w:val="22"/>
          <w:szCs w:val="22"/>
          <w:u w:val="single"/>
        </w:rPr>
        <w:t xml:space="preserve">Technical Progress and Accomplishments </w:t>
      </w:r>
    </w:p>
    <w:p w:rsidR="00D60E46" w:rsidRDefault="00D60E46" w:rsidP="00B444DB">
      <w:pPr>
        <w:pStyle w:val="Default"/>
        <w:rPr>
          <w:sz w:val="22"/>
          <w:szCs w:val="22"/>
        </w:rPr>
      </w:pPr>
    </w:p>
    <w:p w:rsidR="002739DE" w:rsidRDefault="00D60E46" w:rsidP="00B444DB">
      <w:pPr>
        <w:pStyle w:val="Default"/>
        <w:rPr>
          <w:sz w:val="22"/>
          <w:szCs w:val="22"/>
        </w:rPr>
      </w:pPr>
      <w:r>
        <w:rPr>
          <w:sz w:val="22"/>
          <w:szCs w:val="22"/>
        </w:rPr>
        <w:t>The CD-1 approval was granted on August 31, 2010.</w:t>
      </w:r>
    </w:p>
    <w:p w:rsidR="00D60E46" w:rsidRDefault="0041606F" w:rsidP="00B444DB">
      <w:pPr>
        <w:pStyle w:val="Default"/>
        <w:rPr>
          <w:sz w:val="22"/>
          <w:szCs w:val="22"/>
        </w:rPr>
      </w:pPr>
      <w:r>
        <w:rPr>
          <w:sz w:val="22"/>
          <w:szCs w:val="22"/>
        </w:rPr>
        <w:t xml:space="preserve">The PXL infrastructure test readout board is well underway. UT,Austin has joined  the effort for PXL readout. </w:t>
      </w:r>
      <w:r>
        <w:t>Design work is essentially complete on the mechanical release mechanism for PXL that transfers constraint for the insertion mechanism to the detector kinematic mounts.</w:t>
      </w:r>
    </w:p>
    <w:p w:rsidR="00B444DB" w:rsidRDefault="00B444DB" w:rsidP="00B444DB">
      <w:pPr>
        <w:pStyle w:val="Default"/>
        <w:rPr>
          <w:sz w:val="22"/>
          <w:szCs w:val="22"/>
        </w:rPr>
      </w:pPr>
    </w:p>
    <w:p w:rsidR="00D60E46" w:rsidRDefault="00D60E46" w:rsidP="00B444DB">
      <w:pPr>
        <w:pStyle w:val="Default"/>
        <w:rPr>
          <w:sz w:val="22"/>
          <w:szCs w:val="22"/>
          <w:u w:val="single"/>
        </w:rPr>
      </w:pPr>
    </w:p>
    <w:p w:rsidR="00B444DB" w:rsidRDefault="00B444DB" w:rsidP="00B444DB">
      <w:pPr>
        <w:pStyle w:val="Default"/>
        <w:rPr>
          <w:sz w:val="22"/>
          <w:szCs w:val="22"/>
        </w:rPr>
      </w:pPr>
      <w:r>
        <w:rPr>
          <w:sz w:val="22"/>
          <w:szCs w:val="22"/>
          <w:u w:val="single"/>
        </w:rPr>
        <w:t xml:space="preserve">Issues and Concerns </w:t>
      </w:r>
    </w:p>
    <w:p w:rsidR="00A5208B" w:rsidRDefault="00A5208B" w:rsidP="00B444DB">
      <w:pPr>
        <w:rPr>
          <w:sz w:val="22"/>
          <w:szCs w:val="22"/>
        </w:rPr>
      </w:pPr>
    </w:p>
    <w:p w:rsidR="00B444DB" w:rsidRDefault="00A5208B" w:rsidP="00B444DB">
      <w:pPr>
        <w:rPr>
          <w:sz w:val="22"/>
          <w:szCs w:val="22"/>
        </w:rPr>
      </w:pPr>
      <w:r>
        <w:rPr>
          <w:sz w:val="22"/>
          <w:szCs w:val="22"/>
        </w:rPr>
        <w:t xml:space="preserve">The main concerns has been </w:t>
      </w:r>
      <w:r w:rsidR="00865FAC">
        <w:rPr>
          <w:sz w:val="22"/>
          <w:szCs w:val="22"/>
        </w:rPr>
        <w:t xml:space="preserve">the lack of </w:t>
      </w:r>
      <w:r>
        <w:rPr>
          <w:sz w:val="22"/>
          <w:szCs w:val="22"/>
        </w:rPr>
        <w:t>funding of the design and project planning activities for the</w:t>
      </w:r>
      <w:r w:rsidR="00865FAC">
        <w:rPr>
          <w:sz w:val="22"/>
          <w:szCs w:val="22"/>
        </w:rPr>
        <w:t xml:space="preserve"> project, in particular at LBNL due t the time it has taken to complete the cd-1 process. </w:t>
      </w:r>
      <w:r>
        <w:rPr>
          <w:sz w:val="22"/>
          <w:szCs w:val="22"/>
        </w:rPr>
        <w:t xml:space="preserve"> </w:t>
      </w:r>
      <w:r w:rsidR="00865FAC">
        <w:rPr>
          <w:sz w:val="22"/>
          <w:szCs w:val="22"/>
        </w:rPr>
        <w:t xml:space="preserve">This has lead to delays in some designs. </w:t>
      </w:r>
      <w:r>
        <w:rPr>
          <w:sz w:val="22"/>
          <w:szCs w:val="22"/>
        </w:rPr>
        <w:t>Proactive steps were taken to ensure Statement of work, and other required material was in place by end of month.</w:t>
      </w:r>
      <w:r w:rsidR="00865FAC">
        <w:rPr>
          <w:sz w:val="22"/>
          <w:szCs w:val="22"/>
        </w:rPr>
        <w:t xml:space="preserve"> </w:t>
      </w:r>
    </w:p>
    <w:p w:rsidR="00B444DB" w:rsidRDefault="00B444DB" w:rsidP="00B444DB">
      <w:pPr>
        <w:rPr>
          <w:sz w:val="22"/>
          <w:szCs w:val="22"/>
        </w:rPr>
      </w:pPr>
    </w:p>
    <w:p w:rsidR="00B444DB" w:rsidRDefault="00B444DB" w:rsidP="00B444DB">
      <w:pPr>
        <w:rPr>
          <w:b/>
          <w:sz w:val="22"/>
          <w:szCs w:val="22"/>
        </w:rPr>
      </w:pPr>
      <w:r>
        <w:rPr>
          <w:b/>
          <w:szCs w:val="22"/>
        </w:rPr>
        <w:t xml:space="preserve">II </w:t>
      </w:r>
      <w:r w:rsidRPr="00B444DB">
        <w:rPr>
          <w:b/>
          <w:szCs w:val="22"/>
        </w:rPr>
        <w:t>Detailed</w:t>
      </w:r>
      <w:r w:rsidRPr="00B444DB">
        <w:rPr>
          <w:b/>
          <w:sz w:val="22"/>
          <w:szCs w:val="22"/>
        </w:rPr>
        <w:t xml:space="preserve"> STATUS by WBS</w:t>
      </w:r>
    </w:p>
    <w:p w:rsidR="00B444DB" w:rsidRDefault="00B444DB" w:rsidP="00B444DB">
      <w:pPr>
        <w:rPr>
          <w:b/>
          <w:sz w:val="22"/>
          <w:szCs w:val="22"/>
        </w:rPr>
      </w:pPr>
    </w:p>
    <w:p w:rsidR="00B444DB" w:rsidRDefault="00B444DB" w:rsidP="00B444DB">
      <w:pPr>
        <w:rPr>
          <w:b/>
          <w:sz w:val="22"/>
          <w:szCs w:val="22"/>
        </w:rPr>
      </w:pPr>
    </w:p>
    <w:p w:rsidR="00B444DB" w:rsidRPr="00316D06" w:rsidRDefault="00B444DB" w:rsidP="00B444DB">
      <w:pPr>
        <w:rPr>
          <w:b/>
          <w:szCs w:val="22"/>
        </w:rPr>
      </w:pPr>
      <w:r w:rsidRPr="00316D06">
        <w:rPr>
          <w:b/>
          <w:szCs w:val="22"/>
        </w:rPr>
        <w:t>WBS 1.1 Project Management</w:t>
      </w:r>
    </w:p>
    <w:p w:rsidR="00A1557D" w:rsidRDefault="00A1557D" w:rsidP="00B444DB">
      <w:pPr>
        <w:rPr>
          <w:b/>
          <w:sz w:val="22"/>
          <w:szCs w:val="22"/>
        </w:rPr>
      </w:pPr>
    </w:p>
    <w:p w:rsidR="00A1557D" w:rsidRPr="00A5208B" w:rsidRDefault="00A5208B" w:rsidP="00B444DB">
      <w:r w:rsidRPr="00A5208B">
        <w:t xml:space="preserve">Since the HFT project will start monthly and quarterly reporting following the CD-1 approval, and internal procedure has been setup and documented that will ensure </w:t>
      </w:r>
      <w:r>
        <w:t>timely input form sub-system, with expected completion of reports on or about the 20</w:t>
      </w:r>
      <w:r w:rsidRPr="00A5208B">
        <w:rPr>
          <w:vertAlign w:val="superscript"/>
        </w:rPr>
        <w:t>th</w:t>
      </w:r>
      <w:r>
        <w:t xml:space="preserve"> of each month.</w:t>
      </w:r>
    </w:p>
    <w:p w:rsidR="00D60E46" w:rsidRDefault="00D60E46" w:rsidP="00A1557D"/>
    <w:p w:rsidR="00A1557D" w:rsidRDefault="00A5208B" w:rsidP="00A1557D">
      <w:r>
        <w:t>The plan</w:t>
      </w:r>
      <w:r w:rsidR="00A1557D">
        <w:t>,</w:t>
      </w:r>
      <w:r>
        <w:t xml:space="preserve"> to get to CD2/3</w:t>
      </w:r>
      <w:r w:rsidR="00A1557D">
        <w:t xml:space="preserve"> which involves several </w:t>
      </w:r>
      <w:r>
        <w:t>intermediate meeting and reviews has been put in place.</w:t>
      </w:r>
      <w:r w:rsidR="00A1557D">
        <w:t>. These include:</w:t>
      </w:r>
    </w:p>
    <w:p w:rsidR="00A1557D" w:rsidRDefault="00A1557D" w:rsidP="00A1557D">
      <w:pPr>
        <w:pStyle w:val="ListParagraph"/>
        <w:numPr>
          <w:ilvl w:val="0"/>
          <w:numId w:val="1"/>
        </w:numPr>
      </w:pPr>
      <w:r>
        <w:t>Cost and Schedule preparation</w:t>
      </w:r>
      <w:r w:rsidR="00D60E46">
        <w:t>; in progress.</w:t>
      </w:r>
    </w:p>
    <w:p w:rsidR="00A1557D" w:rsidRDefault="00A1557D" w:rsidP="00A1557D">
      <w:pPr>
        <w:pStyle w:val="ListParagraph"/>
        <w:numPr>
          <w:ilvl w:val="0"/>
          <w:numId w:val="1"/>
        </w:numPr>
      </w:pPr>
      <w:r>
        <w:t>HFT internal review of Design, cost and schedule, followed by adjustments</w:t>
      </w:r>
      <w:r w:rsidR="00D60E46">
        <w:t>. Scheduled for October 14 at BNL.</w:t>
      </w:r>
    </w:p>
    <w:p w:rsidR="00A1557D" w:rsidRDefault="00A1557D" w:rsidP="00A1557D">
      <w:pPr>
        <w:pStyle w:val="ListParagraph"/>
        <w:numPr>
          <w:ilvl w:val="0"/>
          <w:numId w:val="1"/>
        </w:numPr>
      </w:pPr>
      <w:r>
        <w:t xml:space="preserve">BNL lead pre </w:t>
      </w:r>
      <w:r w:rsidR="00A5208B">
        <w:t xml:space="preserve">cost and schedule (pre </w:t>
      </w:r>
      <w:r>
        <w:t>cd2/3</w:t>
      </w:r>
      <w:r w:rsidR="00A5208B">
        <w:t>)</w:t>
      </w:r>
      <w:r>
        <w:t xml:space="preserve"> review with external reviewers (around end Nov)</w:t>
      </w:r>
    </w:p>
    <w:p w:rsidR="00A1557D" w:rsidRDefault="00A1557D" w:rsidP="00A1557D">
      <w:pPr>
        <w:pStyle w:val="ListParagraph"/>
        <w:numPr>
          <w:ilvl w:val="0"/>
          <w:numId w:val="1"/>
        </w:numPr>
      </w:pPr>
      <w:r>
        <w:t>Finalize documents for cd2/3</w:t>
      </w:r>
    </w:p>
    <w:p w:rsidR="00A1557D" w:rsidRDefault="00A1557D" w:rsidP="00A1557D">
      <w:pPr>
        <w:pStyle w:val="ListParagraph"/>
        <w:numPr>
          <w:ilvl w:val="0"/>
          <w:numId w:val="1"/>
        </w:numPr>
      </w:pPr>
      <w:r>
        <w:t>Aim for late January, early February DOE review.</w:t>
      </w:r>
    </w:p>
    <w:p w:rsidR="00A5208B" w:rsidRDefault="00A5208B" w:rsidP="00A1557D">
      <w:r>
        <w:t>The status and prospects will be evaluated following each step.</w:t>
      </w:r>
    </w:p>
    <w:p w:rsidR="00A1557D" w:rsidRDefault="00A1557D" w:rsidP="00A1557D"/>
    <w:p w:rsidR="00A1557D" w:rsidRDefault="00A1557D" w:rsidP="00A1557D">
      <w:r>
        <w:t>The HFT project management has been strengthened with Sarah Morgan in project controls and schedule development in addition to Kerry Mirabella.</w:t>
      </w:r>
    </w:p>
    <w:p w:rsidR="002739DE" w:rsidRDefault="00A1557D" w:rsidP="00A1557D">
      <w:r>
        <w:t>Dana Beavis will be sub-system manager for Integration, replacing FV, who was acting sub-system manager.</w:t>
      </w:r>
    </w:p>
    <w:p w:rsidR="00A5208B" w:rsidRDefault="00A5208B" w:rsidP="00A1557D"/>
    <w:p w:rsidR="00D60E46" w:rsidRDefault="00A5208B" w:rsidP="00A1557D">
      <w:r>
        <w:t>A project control meeting was held on August</w:t>
      </w:r>
      <w:r w:rsidR="002739DE">
        <w:t xml:space="preserve"> 17-18 with people from LBNL and BNL. Several open issues on the development of a bottoms up resource loaded schedule, reporting requirements and account definitions were discussed and agreed upon. Sarah Morgan and the sub-system managers will develop the Cost and Schedule, while the BNL project people will participate in review of these, as well as document development.</w:t>
      </w:r>
    </w:p>
    <w:p w:rsidR="002739DE" w:rsidRDefault="002739DE" w:rsidP="00A1557D"/>
    <w:p w:rsidR="00A1557D" w:rsidRDefault="002739DE" w:rsidP="00A1557D">
      <w:r>
        <w:t>Statement of work for HFT activities at LNBL covering the period Sept 1 to Feb 28, 2011 was finalized in anticipation of the  CD-1 approval., so funding could flow soon thereafter.</w:t>
      </w:r>
    </w:p>
    <w:p w:rsidR="002739DE" w:rsidRDefault="002739DE" w:rsidP="00B444DB">
      <w:pPr>
        <w:rPr>
          <w:b/>
          <w:sz w:val="22"/>
          <w:szCs w:val="22"/>
        </w:rPr>
      </w:pPr>
    </w:p>
    <w:p w:rsidR="00316D06" w:rsidRDefault="00316D06" w:rsidP="00B444DB">
      <w:pPr>
        <w:rPr>
          <w:b/>
          <w:sz w:val="22"/>
          <w:szCs w:val="22"/>
        </w:rPr>
      </w:pPr>
    </w:p>
    <w:p w:rsidR="002739DE" w:rsidRDefault="00D60E46" w:rsidP="00B444DB">
      <w:pPr>
        <w:rPr>
          <w:sz w:val="22"/>
          <w:szCs w:val="22"/>
        </w:rPr>
      </w:pPr>
      <w:r>
        <w:rPr>
          <w:sz w:val="22"/>
          <w:szCs w:val="22"/>
        </w:rPr>
        <w:t xml:space="preserve">The </w:t>
      </w:r>
      <w:r w:rsidR="001E2C3C">
        <w:rPr>
          <w:sz w:val="22"/>
          <w:szCs w:val="22"/>
        </w:rPr>
        <w:t>first monthly</w:t>
      </w:r>
      <w:r w:rsidR="00A1557D">
        <w:rPr>
          <w:sz w:val="22"/>
          <w:szCs w:val="22"/>
        </w:rPr>
        <w:t xml:space="preserve"> telecon with DOE </w:t>
      </w:r>
      <w:r w:rsidR="002739DE">
        <w:rPr>
          <w:sz w:val="22"/>
          <w:szCs w:val="22"/>
        </w:rPr>
        <w:t xml:space="preserve">/NP </w:t>
      </w:r>
      <w:r w:rsidR="00A1557D">
        <w:rPr>
          <w:sz w:val="22"/>
          <w:szCs w:val="22"/>
        </w:rPr>
        <w:t>HQ was held on August 12.</w:t>
      </w:r>
    </w:p>
    <w:p w:rsidR="00656943" w:rsidRDefault="002739DE" w:rsidP="00B444DB">
      <w:pPr>
        <w:rPr>
          <w:sz w:val="22"/>
          <w:szCs w:val="22"/>
        </w:rPr>
      </w:pPr>
      <w:r>
        <w:rPr>
          <w:sz w:val="22"/>
          <w:szCs w:val="22"/>
        </w:rPr>
        <w:t xml:space="preserve">Several meetings </w:t>
      </w:r>
      <w:r w:rsidR="001E2C3C">
        <w:rPr>
          <w:sz w:val="22"/>
          <w:szCs w:val="22"/>
        </w:rPr>
        <w:t xml:space="preserve"> with the FPD </w:t>
      </w:r>
      <w:r>
        <w:rPr>
          <w:sz w:val="22"/>
          <w:szCs w:val="22"/>
        </w:rPr>
        <w:t xml:space="preserve">was held </w:t>
      </w:r>
      <w:r w:rsidR="001E2C3C">
        <w:rPr>
          <w:sz w:val="22"/>
          <w:szCs w:val="22"/>
        </w:rPr>
        <w:t>in particular to prepare for the ESAAB review.</w:t>
      </w:r>
    </w:p>
    <w:p w:rsidR="00A1557D" w:rsidRDefault="00A1557D" w:rsidP="00B444DB">
      <w:pPr>
        <w:rPr>
          <w:sz w:val="22"/>
          <w:szCs w:val="22"/>
        </w:rPr>
      </w:pPr>
    </w:p>
    <w:p w:rsidR="00CB0661" w:rsidRPr="00B444DB" w:rsidRDefault="00CB0661" w:rsidP="00B444DB">
      <w:pPr>
        <w:rPr>
          <w:b/>
          <w:bCs/>
          <w:sz w:val="28"/>
          <w:szCs w:val="20"/>
        </w:rPr>
      </w:pPr>
    </w:p>
    <w:p w:rsidR="00B444DB" w:rsidRDefault="00B444DB" w:rsidP="00CB0661">
      <w:pPr>
        <w:rPr>
          <w:b/>
          <w:bCs/>
          <w:szCs w:val="20"/>
        </w:rPr>
      </w:pPr>
      <w:r w:rsidRPr="00B444DB">
        <w:rPr>
          <w:b/>
          <w:bCs/>
          <w:szCs w:val="20"/>
        </w:rPr>
        <w:t>WBS 1.2 PXL detector</w:t>
      </w:r>
    </w:p>
    <w:p w:rsidR="00AF7F83" w:rsidRDefault="00AF7F83" w:rsidP="00CB0661">
      <w:pPr>
        <w:rPr>
          <w:b/>
          <w:bCs/>
          <w:szCs w:val="20"/>
        </w:rPr>
      </w:pPr>
    </w:p>
    <w:p w:rsidR="00AF7F83" w:rsidRDefault="00AF7F83" w:rsidP="00AF7F83">
      <w:r>
        <w:t>The infrastructure Test Board (ITB) testing is under way. The first results of these investigations are coming in and the issues found will be discussed with IPHC in person in September.</w:t>
      </w:r>
    </w:p>
    <w:p w:rsidR="00AF7F83" w:rsidRDefault="00AF7F83" w:rsidP="00AF7F83"/>
    <w:p w:rsidR="00AF7F83" w:rsidRDefault="00AF7F83" w:rsidP="00AF7F83">
      <w:r>
        <w:t>Jo Schambach from the University of Texas at Austin visited for a week in order to learn the hardware, firmware and software environment for the PXL RDO system. Good progress was made. All of the system firmware and software is now checked into a subversion server at UTA and in a structure that will be useful for multi-site RDO development. He has returned to UTA with a working RDO system and will be now actively doing development as part of the PXL team.</w:t>
      </w:r>
    </w:p>
    <w:p w:rsidR="00AF7F83" w:rsidRDefault="00AF7F83" w:rsidP="00AF7F83"/>
    <w:p w:rsidR="00AF7F83" w:rsidRDefault="00AF7F83" w:rsidP="00AF7F83">
      <w:r>
        <w:t>The UTA will take primary responsibility for beam testing the thinned Phase-2 sensors and will fabricate the mechanical holding box and trigger scintillators. LBNL will provide all of the sensor and RDO hardware. UTA will make the required modifications to the RDO firmware and software needed for telescope readout.</w:t>
      </w:r>
    </w:p>
    <w:p w:rsidR="00AF7F83" w:rsidRDefault="00AF7F83" w:rsidP="00AF7F83"/>
    <w:p w:rsidR="00AF7F83" w:rsidRDefault="00AF7F83" w:rsidP="00AF7F83">
      <w:r>
        <w:t>The PXL group has contacted with Aptek to understand the unexpectedly low yield of 64% total in the pre-scribe thinning method. The process notes indicated that our wafer separated from the adhesive earlier than expected in the process probably leading to the poor yield. This is not typical and while they can not explain this particular case, we can expect a &gt; 90% yield with the prescribe process. We expect to send them another wafer for processing.</w:t>
      </w:r>
    </w:p>
    <w:p w:rsidR="00AF7F83" w:rsidRDefault="00AF7F83" w:rsidP="00AF7F83"/>
    <w:p w:rsidR="00AF7F83" w:rsidRDefault="00AF7F83" w:rsidP="00AF7F83">
      <w:r>
        <w:t>Mechanical prototype pieces for the insertion mechanism and for the metrology of sectors are under fabrication both at LBNL and UTA shops.  Also, work is progressing in the shops on fabricating fixtures required for prototyping with a number of pieces completed.  These fixtures will then be used again later in building final structures. Design work is essentially complete on the mechanical release mechanism that transfers constraint for the insertion mechanism to the detector kinematic mounts.  Design updates of the PXL storage and transfer box is progressing.  These updates will make the transfer box compatible with recent developments in the insertion mechanism design.</w:t>
      </w:r>
    </w:p>
    <w:p w:rsidR="00B444DB" w:rsidRDefault="00B444DB" w:rsidP="00CB0661">
      <w:pPr>
        <w:rPr>
          <w:b/>
          <w:bCs/>
          <w:szCs w:val="20"/>
        </w:rPr>
      </w:pPr>
    </w:p>
    <w:p w:rsidR="00B444DB" w:rsidRDefault="00B444DB" w:rsidP="00CB0661">
      <w:pPr>
        <w:rPr>
          <w:bCs/>
          <w:szCs w:val="20"/>
          <w:u w:val="single"/>
        </w:rPr>
      </w:pPr>
    </w:p>
    <w:p w:rsidR="00B444DB" w:rsidRDefault="00B444DB" w:rsidP="00CB0661">
      <w:pPr>
        <w:rPr>
          <w:b/>
          <w:bCs/>
          <w:szCs w:val="20"/>
        </w:rPr>
      </w:pPr>
    </w:p>
    <w:p w:rsidR="00B444DB" w:rsidRDefault="00B444DB" w:rsidP="00CB0661">
      <w:pPr>
        <w:rPr>
          <w:b/>
          <w:bCs/>
          <w:szCs w:val="20"/>
        </w:rPr>
      </w:pPr>
      <w:r>
        <w:rPr>
          <w:b/>
          <w:bCs/>
          <w:szCs w:val="20"/>
        </w:rPr>
        <w:t>WBS 1.3 IST detector</w:t>
      </w:r>
    </w:p>
    <w:p w:rsidR="00316D06" w:rsidRDefault="00316D06" w:rsidP="00CB0661">
      <w:pPr>
        <w:rPr>
          <w:b/>
          <w:bCs/>
          <w:szCs w:val="20"/>
        </w:rPr>
      </w:pPr>
    </w:p>
    <w:p w:rsidR="00AF7F83" w:rsidRPr="00AF7F83" w:rsidRDefault="00AF7F83" w:rsidP="00AF7F83">
      <w:pPr>
        <w:rPr>
          <w:bCs/>
          <w:szCs w:val="20"/>
        </w:rPr>
      </w:pPr>
      <w:r w:rsidRPr="00AF7F83">
        <w:rPr>
          <w:bCs/>
          <w:szCs w:val="20"/>
        </w:rPr>
        <w:t>The IST hybrid design made some progress in August. For many reasons</w:t>
      </w:r>
      <w:r>
        <w:rPr>
          <w:bCs/>
          <w:szCs w:val="20"/>
        </w:rPr>
        <w:t xml:space="preserve"> </w:t>
      </w:r>
      <w:r w:rsidRPr="00AF7F83">
        <w:rPr>
          <w:bCs/>
          <w:szCs w:val="20"/>
        </w:rPr>
        <w:t xml:space="preserve">it is easier to have one large hybrid, with 6 sensors, per ladder, rather </w:t>
      </w:r>
      <w:r w:rsidR="005F4818" w:rsidRPr="00AF7F83">
        <w:rPr>
          <w:bCs/>
          <w:szCs w:val="20"/>
        </w:rPr>
        <w:t xml:space="preserve">than </w:t>
      </w:r>
      <w:r w:rsidR="005F4818">
        <w:rPr>
          <w:bCs/>
          <w:szCs w:val="20"/>
        </w:rPr>
        <w:t>the</w:t>
      </w:r>
      <w:r w:rsidRPr="00AF7F83">
        <w:rPr>
          <w:bCs/>
          <w:szCs w:val="20"/>
        </w:rPr>
        <w:t xml:space="preserve"> 3 hybrids per ladder. The 3 hybrids would have to be assembled into 3</w:t>
      </w:r>
      <w:r>
        <w:rPr>
          <w:bCs/>
          <w:szCs w:val="20"/>
        </w:rPr>
        <w:t xml:space="preserve"> modules with carbon fiber </w:t>
      </w:r>
      <w:r w:rsidR="005F4818" w:rsidRPr="00AF7F83">
        <w:rPr>
          <w:bCs/>
          <w:szCs w:val="20"/>
        </w:rPr>
        <w:t>back plates</w:t>
      </w:r>
      <w:r w:rsidRPr="00AF7F83">
        <w:rPr>
          <w:bCs/>
          <w:szCs w:val="20"/>
        </w:rPr>
        <w:t xml:space="preserve"> and then glued to the ladders. </w:t>
      </w:r>
      <w:r>
        <w:rPr>
          <w:bCs/>
          <w:szCs w:val="20"/>
        </w:rPr>
        <w:t xml:space="preserve"> </w:t>
      </w:r>
      <w:r w:rsidRPr="00AF7F83">
        <w:rPr>
          <w:bCs/>
          <w:szCs w:val="20"/>
        </w:rPr>
        <w:t>Prototyping of these modules showed excessive bowing because of the</w:t>
      </w:r>
      <w:r>
        <w:rPr>
          <w:bCs/>
          <w:szCs w:val="20"/>
        </w:rPr>
        <w:t xml:space="preserve"> </w:t>
      </w:r>
      <w:r w:rsidRPr="00AF7F83">
        <w:rPr>
          <w:bCs/>
          <w:szCs w:val="20"/>
        </w:rPr>
        <w:t>incompatibility of the materials that need to be used. The 1 hybrid per ladder</w:t>
      </w:r>
      <w:r>
        <w:rPr>
          <w:bCs/>
          <w:szCs w:val="20"/>
        </w:rPr>
        <w:t xml:space="preserve"> </w:t>
      </w:r>
      <w:r w:rsidRPr="00AF7F83">
        <w:rPr>
          <w:bCs/>
          <w:szCs w:val="20"/>
        </w:rPr>
        <w:t>design will have the hybrid directly laminated to the carbon fiber ladder</w:t>
      </w:r>
      <w:r>
        <w:rPr>
          <w:bCs/>
          <w:szCs w:val="20"/>
        </w:rPr>
        <w:t xml:space="preserve"> </w:t>
      </w:r>
      <w:r w:rsidRPr="00AF7F83">
        <w:rPr>
          <w:bCs/>
          <w:szCs w:val="20"/>
        </w:rPr>
        <w:t>during the ladder produc</w:t>
      </w:r>
      <w:r>
        <w:rPr>
          <w:bCs/>
          <w:szCs w:val="20"/>
        </w:rPr>
        <w:t xml:space="preserve">tion phase. The stiffness of the </w:t>
      </w:r>
      <w:r w:rsidRPr="00AF7F83">
        <w:rPr>
          <w:bCs/>
          <w:szCs w:val="20"/>
        </w:rPr>
        <w:t>honeycomb ladder</w:t>
      </w:r>
      <w:r>
        <w:rPr>
          <w:bCs/>
          <w:szCs w:val="20"/>
        </w:rPr>
        <w:t xml:space="preserve"> </w:t>
      </w:r>
      <w:r w:rsidRPr="00AF7F83">
        <w:rPr>
          <w:bCs/>
          <w:szCs w:val="20"/>
        </w:rPr>
        <w:t>will greatly reduce bowing of the assembly. The design of this 1 big hybrid</w:t>
      </w:r>
      <w:r>
        <w:rPr>
          <w:bCs/>
          <w:szCs w:val="20"/>
        </w:rPr>
        <w:t xml:space="preserve"> </w:t>
      </w:r>
      <w:r w:rsidRPr="00AF7F83">
        <w:rPr>
          <w:bCs/>
          <w:szCs w:val="20"/>
        </w:rPr>
        <w:t xml:space="preserve">is currently ongoing. Some information with respect to currents in the </w:t>
      </w:r>
    </w:p>
    <w:p w:rsidR="00AF7F83" w:rsidRPr="00AF7F83" w:rsidRDefault="00AF7F83" w:rsidP="00AF7F83">
      <w:pPr>
        <w:rPr>
          <w:bCs/>
          <w:szCs w:val="20"/>
        </w:rPr>
      </w:pPr>
      <w:r w:rsidRPr="00AF7F83">
        <w:rPr>
          <w:bCs/>
          <w:szCs w:val="20"/>
        </w:rPr>
        <w:t>pre-prototypes is still needed to properly dimension the traces on the</w:t>
      </w:r>
      <w:r>
        <w:rPr>
          <w:bCs/>
          <w:szCs w:val="20"/>
        </w:rPr>
        <w:t xml:space="preserve"> </w:t>
      </w:r>
      <w:r w:rsidRPr="00AF7F83">
        <w:rPr>
          <w:bCs/>
          <w:szCs w:val="20"/>
        </w:rPr>
        <w:t>hybrid. Since there will be only 1 kapton readout cable per ladder with the</w:t>
      </w:r>
      <w:r>
        <w:rPr>
          <w:bCs/>
          <w:szCs w:val="20"/>
        </w:rPr>
        <w:t xml:space="preserve"> </w:t>
      </w:r>
      <w:r w:rsidRPr="00AF7F83">
        <w:rPr>
          <w:bCs/>
          <w:szCs w:val="20"/>
        </w:rPr>
        <w:t>new design, the thickness and width of the traces has to be tweaked.</w:t>
      </w:r>
    </w:p>
    <w:p w:rsidR="00AF7F83" w:rsidRPr="00AF7F83" w:rsidRDefault="00AF7F83" w:rsidP="00AF7F83">
      <w:pPr>
        <w:rPr>
          <w:bCs/>
          <w:szCs w:val="20"/>
        </w:rPr>
      </w:pPr>
      <w:r w:rsidRPr="00AF7F83">
        <w:rPr>
          <w:bCs/>
          <w:szCs w:val="20"/>
        </w:rPr>
        <w:t>This could lead to a slight increase of the width of the cable and of the</w:t>
      </w:r>
      <w:r>
        <w:rPr>
          <w:bCs/>
          <w:szCs w:val="20"/>
        </w:rPr>
        <w:t xml:space="preserve"> </w:t>
      </w:r>
      <w:r w:rsidRPr="00AF7F83">
        <w:rPr>
          <w:bCs/>
          <w:szCs w:val="20"/>
        </w:rPr>
        <w:t>ladder itself. Having only 1 signal conn</w:t>
      </w:r>
      <w:r>
        <w:rPr>
          <w:bCs/>
          <w:szCs w:val="20"/>
        </w:rPr>
        <w:t xml:space="preserve">ector per ladder, instead of 3, </w:t>
      </w:r>
      <w:r w:rsidRPr="00AF7F83">
        <w:rPr>
          <w:bCs/>
          <w:szCs w:val="20"/>
        </w:rPr>
        <w:t>will make the support mechanics and electrically debugging much easier.</w:t>
      </w:r>
    </w:p>
    <w:p w:rsidR="00AF7F83" w:rsidRPr="00AF7F83" w:rsidRDefault="00AF7F83" w:rsidP="00AF7F83">
      <w:pPr>
        <w:rPr>
          <w:bCs/>
          <w:szCs w:val="20"/>
        </w:rPr>
      </w:pPr>
      <w:r w:rsidRPr="00AF7F83">
        <w:rPr>
          <w:bCs/>
          <w:szCs w:val="20"/>
        </w:rPr>
        <w:t>The hybrid production company has alr</w:t>
      </w:r>
      <w:r>
        <w:rPr>
          <w:bCs/>
          <w:szCs w:val="20"/>
        </w:rPr>
        <w:t xml:space="preserve">eady confirmed their ability of </w:t>
      </w:r>
      <w:r w:rsidRPr="00AF7F83">
        <w:rPr>
          <w:bCs/>
          <w:szCs w:val="20"/>
        </w:rPr>
        <w:t>making this new large kapton hybrid+cable. The lamination process</w:t>
      </w:r>
      <w:r>
        <w:rPr>
          <w:bCs/>
          <w:szCs w:val="20"/>
        </w:rPr>
        <w:t xml:space="preserve"> </w:t>
      </w:r>
      <w:r w:rsidRPr="00AF7F83">
        <w:rPr>
          <w:bCs/>
          <w:szCs w:val="20"/>
        </w:rPr>
        <w:t>of this hybrid with a honeycomb carbon fiber ladder will be prototyped</w:t>
      </w:r>
      <w:r>
        <w:rPr>
          <w:bCs/>
          <w:szCs w:val="20"/>
        </w:rPr>
        <w:t xml:space="preserve"> </w:t>
      </w:r>
      <w:r w:rsidRPr="00AF7F83">
        <w:rPr>
          <w:bCs/>
          <w:szCs w:val="20"/>
        </w:rPr>
        <w:t>at LBNL in the coming months.</w:t>
      </w:r>
    </w:p>
    <w:p w:rsidR="00AF7F83" w:rsidRPr="00AF7F83" w:rsidRDefault="00AF7F83" w:rsidP="00AF7F83">
      <w:pPr>
        <w:rPr>
          <w:bCs/>
          <w:szCs w:val="20"/>
        </w:rPr>
      </w:pPr>
    </w:p>
    <w:p w:rsidR="00316D06" w:rsidRPr="005F4818" w:rsidRDefault="00AF7F83" w:rsidP="00CB0661">
      <w:pPr>
        <w:rPr>
          <w:bCs/>
          <w:szCs w:val="20"/>
        </w:rPr>
      </w:pPr>
      <w:r w:rsidRPr="00AF7F83">
        <w:rPr>
          <w:bCs/>
          <w:szCs w:val="20"/>
        </w:rPr>
        <w:t>The pre-prototype module that was full</w:t>
      </w:r>
      <w:r>
        <w:rPr>
          <w:bCs/>
          <w:szCs w:val="20"/>
        </w:rPr>
        <w:t xml:space="preserve">y bonded at the Instrumentation </w:t>
      </w:r>
      <w:r w:rsidRPr="00AF7F83">
        <w:rPr>
          <w:bCs/>
          <w:szCs w:val="20"/>
        </w:rPr>
        <w:t>Division at BNL is currently being tested.  The firmware code to run</w:t>
      </w:r>
      <w:r>
        <w:rPr>
          <w:bCs/>
          <w:szCs w:val="20"/>
        </w:rPr>
        <w:t xml:space="preserve"> </w:t>
      </w:r>
      <w:r w:rsidRPr="00AF7F83">
        <w:rPr>
          <w:bCs/>
          <w:szCs w:val="20"/>
        </w:rPr>
        <w:t>the APV25-S1 readout chips in calibration mode will be finished in the</w:t>
      </w:r>
      <w:r>
        <w:rPr>
          <w:bCs/>
          <w:szCs w:val="20"/>
        </w:rPr>
        <w:t xml:space="preserve"> </w:t>
      </w:r>
      <w:r w:rsidRPr="00AF7F83">
        <w:rPr>
          <w:bCs/>
          <w:szCs w:val="20"/>
        </w:rPr>
        <w:t>coming week. This code is needed to determine the operational settings</w:t>
      </w:r>
      <w:r>
        <w:rPr>
          <w:bCs/>
          <w:szCs w:val="20"/>
        </w:rPr>
        <w:t xml:space="preserve"> </w:t>
      </w:r>
      <w:r w:rsidRPr="00AF7F83">
        <w:rPr>
          <w:bCs/>
          <w:szCs w:val="20"/>
        </w:rPr>
        <w:t>of the APV chips, which makes it possible to measure to operational</w:t>
      </w:r>
      <w:r>
        <w:rPr>
          <w:bCs/>
          <w:szCs w:val="20"/>
        </w:rPr>
        <w:t xml:space="preserve"> </w:t>
      </w:r>
      <w:r w:rsidRPr="00AF7F83">
        <w:rPr>
          <w:bCs/>
          <w:szCs w:val="20"/>
        </w:rPr>
        <w:t xml:space="preserve">currents. These operational values are needed for the design of the </w:t>
      </w:r>
      <w:r>
        <w:rPr>
          <w:bCs/>
          <w:szCs w:val="20"/>
        </w:rPr>
        <w:t>traces</w:t>
      </w:r>
      <w:r w:rsidRPr="00AF7F83">
        <w:rPr>
          <w:bCs/>
          <w:szCs w:val="20"/>
        </w:rPr>
        <w:t xml:space="preserve"> on the new large hybr</w:t>
      </w:r>
      <w:r>
        <w:rPr>
          <w:bCs/>
          <w:szCs w:val="20"/>
        </w:rPr>
        <w:t xml:space="preserve">id. </w:t>
      </w:r>
    </w:p>
    <w:p w:rsidR="00B444DB" w:rsidRPr="00316D06" w:rsidRDefault="00B444DB" w:rsidP="00CB0661">
      <w:pPr>
        <w:rPr>
          <w:bCs/>
          <w:szCs w:val="20"/>
          <w:u w:val="single"/>
        </w:rPr>
      </w:pPr>
    </w:p>
    <w:p w:rsidR="00B444DB" w:rsidRDefault="00B444DB" w:rsidP="00CB0661">
      <w:pPr>
        <w:rPr>
          <w:b/>
          <w:bCs/>
          <w:szCs w:val="20"/>
        </w:rPr>
      </w:pPr>
    </w:p>
    <w:p w:rsidR="00B444DB" w:rsidRDefault="00B444DB" w:rsidP="00CB0661">
      <w:pPr>
        <w:rPr>
          <w:b/>
          <w:bCs/>
          <w:szCs w:val="20"/>
        </w:rPr>
      </w:pPr>
      <w:r>
        <w:rPr>
          <w:b/>
          <w:bCs/>
          <w:szCs w:val="20"/>
        </w:rPr>
        <w:t>WBS 1.4 SSD detector</w:t>
      </w:r>
    </w:p>
    <w:p w:rsidR="00A1557D" w:rsidRDefault="00A1557D" w:rsidP="00CB0661">
      <w:pPr>
        <w:rPr>
          <w:b/>
          <w:bCs/>
          <w:szCs w:val="20"/>
        </w:rPr>
      </w:pPr>
    </w:p>
    <w:p w:rsidR="00AF7F83" w:rsidRPr="00201350" w:rsidRDefault="00AF7F83" w:rsidP="00AF7F83">
      <w:pPr>
        <w:rPr>
          <w:u w:val="single"/>
        </w:rPr>
      </w:pPr>
      <w:r w:rsidRPr="00201350">
        <w:rPr>
          <w:u w:val="single"/>
        </w:rPr>
        <w:t>Ladder Board</w:t>
      </w:r>
    </w:p>
    <w:p w:rsidR="00AF7F83" w:rsidRPr="00201350" w:rsidRDefault="00AF7F83" w:rsidP="00AF7F83">
      <w:pPr>
        <w:rPr>
          <w:u w:val="single"/>
        </w:rPr>
      </w:pPr>
    </w:p>
    <w:p w:rsidR="00AF7F83" w:rsidRPr="00201350" w:rsidRDefault="00AF7F83" w:rsidP="00AF7F83">
      <w:r>
        <w:t xml:space="preserve">Engineering recourses for the ladder board have been devoted to another project.  These resources should be available to finish the ladder board prototype board in September.  </w:t>
      </w:r>
      <w:r w:rsidRPr="00201350">
        <w:t>Procurement of components for the prototype ladder board is in progress.</w:t>
      </w:r>
    </w:p>
    <w:p w:rsidR="00AF7F83" w:rsidRPr="00201350" w:rsidRDefault="00AF7F83" w:rsidP="00AF7F83">
      <w:pPr>
        <w:rPr>
          <w:u w:val="single"/>
        </w:rPr>
      </w:pPr>
    </w:p>
    <w:p w:rsidR="00AF7F83" w:rsidRPr="00201350" w:rsidRDefault="00AF7F83" w:rsidP="00AF7F83">
      <w:pPr>
        <w:rPr>
          <w:u w:val="single"/>
        </w:rPr>
      </w:pPr>
    </w:p>
    <w:p w:rsidR="00AF7F83" w:rsidRPr="00201350" w:rsidRDefault="00AF7F83" w:rsidP="00AF7F83">
      <w:pPr>
        <w:rPr>
          <w:u w:val="single"/>
        </w:rPr>
      </w:pPr>
      <w:r w:rsidRPr="00201350">
        <w:rPr>
          <w:u w:val="single"/>
        </w:rPr>
        <w:t>SSD Readout board (RDO)</w:t>
      </w:r>
    </w:p>
    <w:p w:rsidR="00AF7F83" w:rsidRPr="00201350" w:rsidRDefault="00AF7F83" w:rsidP="00AF7F83">
      <w:pPr>
        <w:rPr>
          <w:u w:val="single"/>
        </w:rPr>
      </w:pPr>
    </w:p>
    <w:p w:rsidR="00AF7F83" w:rsidRPr="00201350" w:rsidRDefault="00AF7F83" w:rsidP="00AF7F83">
      <w:r w:rsidRPr="00201350">
        <w:t>Work was carried out on defining and implementing the functionality in the Slave FPGA that manages the configuration of the ladder board FPGA via the optical fiber. It was decided to acquire the configuration data from Slow Controls via VME, and to store these data in a small serial PROM associated with each Slave FPGA.</w:t>
      </w:r>
    </w:p>
    <w:p w:rsidR="00AF7F83" w:rsidRPr="00201350" w:rsidRDefault="00AF7F83" w:rsidP="00AF7F83"/>
    <w:p w:rsidR="00AF7F83" w:rsidRPr="00201350" w:rsidRDefault="00AF7F83" w:rsidP="00AF7F83">
      <w:r w:rsidRPr="00201350">
        <w:t>Code has been written to carry out these functions, and is now in the process of verification via simulation.</w:t>
      </w:r>
      <w:r>
        <w:t xml:space="preserve">  </w:t>
      </w:r>
      <w:r w:rsidRPr="00201350">
        <w:t>This code represents the last functional blocks remaining to be implemented for the Slave FPGA; the Slave FPGA code is approximately 95% complete.</w:t>
      </w:r>
    </w:p>
    <w:p w:rsidR="00AF7F83" w:rsidRPr="00201350" w:rsidRDefault="00AF7F83" w:rsidP="00AF7F83"/>
    <w:p w:rsidR="00AF7F83" w:rsidRPr="00201350" w:rsidRDefault="00AF7F83" w:rsidP="00AF7F83">
      <w:r w:rsidRPr="00201350">
        <w:t>No progress has been made on the code development for the remaining FPGAs (Master and VME) on the RDO boar</w:t>
      </w:r>
      <w:r>
        <w:t>d.  This work will start after the prototype ladder board is submitted.</w:t>
      </w:r>
    </w:p>
    <w:p w:rsidR="00AF7F83" w:rsidRDefault="00AF7F83" w:rsidP="00AF7F83">
      <w:pPr>
        <w:rPr>
          <w:rFonts w:ascii="Times New Roman" w:hAnsi="Times New Roman"/>
        </w:rPr>
      </w:pPr>
    </w:p>
    <w:p w:rsidR="00AF7F83" w:rsidRPr="0041109C" w:rsidRDefault="00AF7F83" w:rsidP="00AF7F83">
      <w:pPr>
        <w:rPr>
          <w:u w:val="single"/>
        </w:rPr>
      </w:pPr>
      <w:r w:rsidRPr="0041109C">
        <w:rPr>
          <w:u w:val="single"/>
        </w:rPr>
        <w:t>Cabling</w:t>
      </w:r>
    </w:p>
    <w:p w:rsidR="00AF7F83" w:rsidRDefault="00AF7F83" w:rsidP="00AF7F83">
      <w:pPr>
        <w:rPr>
          <w:rFonts w:ascii="Times New Roman" w:hAnsi="Times New Roman"/>
        </w:rPr>
      </w:pPr>
    </w:p>
    <w:p w:rsidR="00AF7F83" w:rsidRDefault="00AF7F83" w:rsidP="00AF7F83">
      <w:r>
        <w:rPr>
          <w:rFonts w:ascii="Times New Roman" w:hAnsi="Times New Roman"/>
        </w:rPr>
        <w:t>A draft document for the design of the cable on the OSC (Outer Support Cylinder has been circulated for comment.  Electronic components for the cable have been ordered.  A sample cable will be built with a sample from the FGT.  The FGT cable has more conductors than needed and has different insulation.  Nevertheless, it will serve as a model for the cable design.</w:t>
      </w:r>
    </w:p>
    <w:p w:rsidR="00B444DB" w:rsidRDefault="00B444DB" w:rsidP="00CB0661">
      <w:pPr>
        <w:rPr>
          <w:b/>
          <w:bCs/>
          <w:szCs w:val="20"/>
        </w:rPr>
      </w:pPr>
    </w:p>
    <w:p w:rsidR="00B444DB" w:rsidRDefault="00B444DB" w:rsidP="00CB0661">
      <w:pPr>
        <w:rPr>
          <w:b/>
          <w:bCs/>
          <w:szCs w:val="20"/>
        </w:rPr>
      </w:pPr>
    </w:p>
    <w:p w:rsidR="00B444DB" w:rsidRDefault="00B444DB" w:rsidP="00CB0661">
      <w:pPr>
        <w:rPr>
          <w:b/>
          <w:bCs/>
          <w:szCs w:val="20"/>
        </w:rPr>
      </w:pPr>
      <w:r>
        <w:rPr>
          <w:b/>
          <w:bCs/>
          <w:szCs w:val="20"/>
        </w:rPr>
        <w:t>WBS 1.5 Integration</w:t>
      </w:r>
    </w:p>
    <w:p w:rsidR="00AF7F83" w:rsidRDefault="00AF7F83" w:rsidP="00CB0661">
      <w:pPr>
        <w:rPr>
          <w:b/>
          <w:bCs/>
          <w:szCs w:val="20"/>
        </w:rPr>
      </w:pPr>
    </w:p>
    <w:p w:rsidR="00AF7F83" w:rsidRPr="00AF7F83" w:rsidRDefault="00AF7F83" w:rsidP="00AF7F83">
      <w:pPr>
        <w:rPr>
          <w:u w:val="single"/>
        </w:rPr>
      </w:pPr>
      <w:r w:rsidRPr="00AF7F83">
        <w:rPr>
          <w:u w:val="single"/>
        </w:rPr>
        <w:t>Clean Room</w:t>
      </w:r>
    </w:p>
    <w:p w:rsidR="00AF7F83" w:rsidRDefault="00AF7F83" w:rsidP="00AF7F83"/>
    <w:p w:rsidR="00AF7F83" w:rsidRDefault="00AF7F83" w:rsidP="00AF7F83">
      <w:r>
        <w:t xml:space="preserve">Discussion has begun on the subsystems needs for the clean room area for detector assembly. Gerrit and Dana met to discuss the FGT needs. The </w:t>
      </w:r>
      <w:r w:rsidR="0041606F">
        <w:t>plan</w:t>
      </w:r>
      <w:r>
        <w:t xml:space="preserve"> is that FGT and HFT will meet in Sept. with STAR operations and develop a plan for improvements for the clean room. The FGT needs the area by Jan. 2011. A specification for the improvements will be generated. For HFT the area may not be sufficient for full assembly and testing of the detectors. This will be examined more closely in the future.</w:t>
      </w:r>
    </w:p>
    <w:p w:rsidR="00AF7F83" w:rsidRDefault="00AF7F83" w:rsidP="00AF7F83"/>
    <w:p w:rsidR="00AF7F83" w:rsidRDefault="00AF7F83" w:rsidP="00AF7F83">
      <w:r>
        <w:t>Some of the expected improvements are:</w:t>
      </w:r>
    </w:p>
    <w:p w:rsidR="00AF7F83" w:rsidRDefault="00AF7F83" w:rsidP="00AF7F83">
      <w:pPr>
        <w:numPr>
          <w:ilvl w:val="0"/>
          <w:numId w:val="2"/>
        </w:numPr>
      </w:pPr>
      <w:r>
        <w:t>Empty room and clean thoroughly.</w:t>
      </w:r>
    </w:p>
    <w:p w:rsidR="00AF7F83" w:rsidRDefault="00AF7F83" w:rsidP="00AF7F83">
      <w:pPr>
        <w:numPr>
          <w:ilvl w:val="0"/>
          <w:numId w:val="2"/>
        </w:numPr>
      </w:pPr>
      <w:r>
        <w:t>Add air conditioning with flow considerations.</w:t>
      </w:r>
    </w:p>
    <w:p w:rsidR="00AF7F83" w:rsidRDefault="00AF7F83" w:rsidP="00AF7F83">
      <w:pPr>
        <w:numPr>
          <w:ilvl w:val="0"/>
          <w:numId w:val="2"/>
        </w:numPr>
      </w:pPr>
      <w:r>
        <w:t>Step off area at the single door with plastic “drapes” to serve as the entrance</w:t>
      </w:r>
    </w:p>
    <w:p w:rsidR="00AF7F83" w:rsidRDefault="00AF7F83" w:rsidP="00AF7F83">
      <w:pPr>
        <w:numPr>
          <w:ilvl w:val="0"/>
          <w:numId w:val="2"/>
        </w:numPr>
      </w:pPr>
      <w:r>
        <w:t>Trigger and DAQ fibers to the room.</w:t>
      </w:r>
    </w:p>
    <w:p w:rsidR="00AF7F83" w:rsidRDefault="00AF7F83" w:rsidP="00AF7F83">
      <w:pPr>
        <w:numPr>
          <w:ilvl w:val="0"/>
          <w:numId w:val="2"/>
        </w:numPr>
      </w:pPr>
      <w:r>
        <w:t>Options for air systems outside the clean room.</w:t>
      </w:r>
    </w:p>
    <w:p w:rsidR="00AF7F83" w:rsidRDefault="00AF7F83" w:rsidP="00AF7F83">
      <w:pPr>
        <w:numPr>
          <w:ilvl w:val="0"/>
          <w:numId w:val="2"/>
        </w:numPr>
      </w:pPr>
      <w:r>
        <w:t>Determine if the roof can be accessed while the room is in use.</w:t>
      </w:r>
    </w:p>
    <w:p w:rsidR="00AF7F83" w:rsidRDefault="00AF7F83" w:rsidP="00AF7F83">
      <w:pPr>
        <w:numPr>
          <w:ilvl w:val="0"/>
          <w:numId w:val="2"/>
        </w:numPr>
      </w:pPr>
      <w:r>
        <w:t xml:space="preserve"> Power requirements for 208V.</w:t>
      </w:r>
    </w:p>
    <w:p w:rsidR="00AF7F83" w:rsidRDefault="00AF7F83" w:rsidP="00AF7F83"/>
    <w:p w:rsidR="00AF7F83" w:rsidRPr="00AF7F83" w:rsidRDefault="00AF7F83" w:rsidP="00AF7F83">
      <w:pPr>
        <w:rPr>
          <w:u w:val="single"/>
        </w:rPr>
      </w:pPr>
      <w:r w:rsidRPr="00AF7F83">
        <w:rPr>
          <w:u w:val="single"/>
        </w:rPr>
        <w:t>Rack space in IR</w:t>
      </w:r>
    </w:p>
    <w:p w:rsidR="00AF7F83" w:rsidRDefault="00AF7F83" w:rsidP="00AF7F83"/>
    <w:p w:rsidR="00AF7F83" w:rsidRDefault="00AF7F83" w:rsidP="00AF7F83">
      <w:r>
        <w:t>SSD intends to use existing rack space that it has.</w:t>
      </w:r>
    </w:p>
    <w:p w:rsidR="00AF7F83" w:rsidRDefault="00AF7F83" w:rsidP="00AF7F83">
      <w:r>
        <w:t>IST has provided a list and tentative location of racks.</w:t>
      </w:r>
    </w:p>
    <w:p w:rsidR="00AF7F83" w:rsidRDefault="00AF7F83" w:rsidP="00AF7F83">
      <w:r>
        <w:t>PXL has inf</w:t>
      </w:r>
      <w:r w:rsidR="005F4818">
        <w:t>ormation in e-room from Leo. PXL</w:t>
      </w:r>
      <w:r>
        <w:t xml:space="preserve"> needs a half rack near pole tip and the location needs to be agreed on.</w:t>
      </w:r>
    </w:p>
    <w:p w:rsidR="00AF7F83" w:rsidRDefault="00AF7F83" w:rsidP="00AF7F83">
      <w:r>
        <w:t>The rack space in the IR has not been assigned to HFT for any of the subsystems. Ciro D.</w:t>
      </w:r>
      <w:r w:rsidR="005F4818">
        <w:t xml:space="preserve">’Agostino, BNL  </w:t>
      </w:r>
      <w:r>
        <w:t xml:space="preserve"> has a database for the rack assignments. A meeting will be held in Sept. to assign rack space for the HFT. </w:t>
      </w:r>
      <w:r w:rsidR="0041606F">
        <w:t>The database will then be updated</w:t>
      </w:r>
      <w:r>
        <w:t>.</w:t>
      </w:r>
    </w:p>
    <w:p w:rsidR="00AF7F83" w:rsidRDefault="00AF7F83" w:rsidP="00AF7F83"/>
    <w:p w:rsidR="00AF7F83" w:rsidRPr="00AF7F83" w:rsidRDefault="00AF7F83" w:rsidP="00AF7F83">
      <w:pPr>
        <w:rPr>
          <w:u w:val="single"/>
        </w:rPr>
      </w:pPr>
      <w:r w:rsidRPr="00AF7F83">
        <w:rPr>
          <w:u w:val="single"/>
        </w:rPr>
        <w:t>Beam Pipe</w:t>
      </w:r>
    </w:p>
    <w:p w:rsidR="00AF7F83" w:rsidRDefault="00AF7F83" w:rsidP="00AF7F83"/>
    <w:p w:rsidR="00AF7F83" w:rsidRDefault="00AF7F83" w:rsidP="00AF7F83">
      <w:r>
        <w:t xml:space="preserve">A mechanical engineer is needed to conduct the analysis of the beam pipe. John S. could start the drawing for the assemblies. Also the engineering and design for the change for the east wall support could begin. </w:t>
      </w:r>
      <w:r w:rsidR="0041606F">
        <w:t xml:space="preserve">The LBNL mechanical engineer, </w:t>
      </w:r>
      <w:r>
        <w:t>Eric</w:t>
      </w:r>
      <w:r w:rsidR="0041606F">
        <w:t xml:space="preserve"> Anderssen </w:t>
      </w:r>
      <w:r>
        <w:t xml:space="preserve"> will be at CERN Nov. 10 and could handle some issues related to the beam pipe such as the integrated heating blankets.</w:t>
      </w:r>
    </w:p>
    <w:p w:rsidR="00AF7F83" w:rsidRDefault="00AF7F83" w:rsidP="00AF7F83"/>
    <w:p w:rsidR="00AF7F83" w:rsidRPr="00AF7F83" w:rsidRDefault="00AF7F83" w:rsidP="00AF7F83">
      <w:pPr>
        <w:rPr>
          <w:u w:val="single"/>
        </w:rPr>
      </w:pPr>
      <w:r w:rsidRPr="00AF7F83">
        <w:rPr>
          <w:u w:val="single"/>
        </w:rPr>
        <w:t>IR general</w:t>
      </w:r>
    </w:p>
    <w:p w:rsidR="00AF7F83" w:rsidRDefault="00AF7F83" w:rsidP="00AF7F83"/>
    <w:p w:rsidR="00AF7F83" w:rsidRDefault="00AF7F83" w:rsidP="00AF7F83">
      <w:r>
        <w:t xml:space="preserve">The </w:t>
      </w:r>
      <w:r w:rsidR="008A4F9F">
        <w:t xml:space="preserve">CA-D </w:t>
      </w:r>
      <w:r>
        <w:t xml:space="preserve">Liaison Engineer noted that often they get requests for ports in shield walls but find ways to snake things into the area. Howard has provided dimensions of the PXL box that needs to move in/out of the IR.  John S. has provided the layout print that depicts the shielding placement at the back of the IR when the shield wall comes down. If a shadow wall is added it most likely will be on the outside and probably stored outside. Discussion has started with STAR operations on the use of the assembly hall areas for the HFT final assembly. Jason has been adding detectors and shielding to the model of the IR. At some point it would be good to compare the model to what is there. </w:t>
      </w:r>
    </w:p>
    <w:p w:rsidR="00AF7F83" w:rsidRDefault="00AF7F83" w:rsidP="00AF7F83"/>
    <w:p w:rsidR="00AF7F83" w:rsidRPr="00AF7F83" w:rsidRDefault="00AF7F83" w:rsidP="00AF7F83">
      <w:pPr>
        <w:rPr>
          <w:u w:val="single"/>
        </w:rPr>
      </w:pPr>
      <w:r w:rsidRPr="00AF7F83">
        <w:rPr>
          <w:u w:val="single"/>
        </w:rPr>
        <w:t>IDS</w:t>
      </w:r>
    </w:p>
    <w:p w:rsidR="00AF7F83" w:rsidRDefault="00AF7F83" w:rsidP="00AF7F83">
      <w:pPr>
        <w:rPr>
          <w:b/>
        </w:rPr>
      </w:pPr>
    </w:p>
    <w:p w:rsidR="00AF7F83" w:rsidRDefault="00AF7F83" w:rsidP="00AF7F83">
      <w:r w:rsidRPr="004B3D6C">
        <w:t>The</w:t>
      </w:r>
      <w:r>
        <w:t xml:space="preserve"> MSC and it’s tooling have been loaded into Adept. Quotes for the West Support Cylinder (WSC) and the Outer Support Cylinder (OSC) have been received from Allied Engineering and are within expectations. A final pass at the design to account for thermal expansion will be conducted before the contracts are awarded.</w:t>
      </w:r>
    </w:p>
    <w:p w:rsidR="00AF7F83" w:rsidRDefault="00AF7F83" w:rsidP="00AF7F83"/>
    <w:p w:rsidR="00AF7F83" w:rsidRPr="00AF7F83" w:rsidRDefault="00AF7F83" w:rsidP="00AF7F83">
      <w:pPr>
        <w:rPr>
          <w:u w:val="single"/>
        </w:rPr>
      </w:pPr>
      <w:r w:rsidRPr="00AF7F83">
        <w:rPr>
          <w:u w:val="single"/>
        </w:rPr>
        <w:t>MSC and PXL Support</w:t>
      </w:r>
    </w:p>
    <w:p w:rsidR="00AF7F83" w:rsidRDefault="00AF7F83" w:rsidP="00AF7F83">
      <w:pPr>
        <w:rPr>
          <w:b/>
        </w:rPr>
      </w:pPr>
    </w:p>
    <w:p w:rsidR="00AF7F83" w:rsidRPr="004B3D6C" w:rsidRDefault="00AF7F83" w:rsidP="00AF7F83">
      <w:r>
        <w:t>UTA has starting fabrication of some of the bonding jigs for the MSC Pixel Insertion Tube (PIT).  This effort is shared with Pixel mechanics.</w:t>
      </w:r>
    </w:p>
    <w:p w:rsidR="00AF7F83" w:rsidRDefault="00AF7F83" w:rsidP="00AF7F83"/>
    <w:p w:rsidR="00AF7F83" w:rsidRPr="00C521E8" w:rsidRDefault="00AF7F83" w:rsidP="00AF7F83">
      <w:pPr>
        <w:rPr>
          <w:u w:val="single"/>
        </w:rPr>
      </w:pPr>
      <w:r w:rsidRPr="00C521E8">
        <w:rPr>
          <w:u w:val="single"/>
        </w:rPr>
        <w:t>Safety</w:t>
      </w:r>
    </w:p>
    <w:p w:rsidR="00AF7F83" w:rsidRDefault="00AF7F83" w:rsidP="00AF7F83">
      <w:pPr>
        <w:rPr>
          <w:b/>
        </w:rPr>
      </w:pPr>
    </w:p>
    <w:p w:rsidR="00AF7F83" w:rsidRDefault="00AF7F83" w:rsidP="00AF7F83">
      <w:r>
        <w:t xml:space="preserve">Sign-off on the fire issues related to the carbon fiber structures is still open. </w:t>
      </w:r>
    </w:p>
    <w:p w:rsidR="00AF7F83" w:rsidRDefault="00AF7F83" w:rsidP="00AF7F83"/>
    <w:p w:rsidR="00B444DB" w:rsidRDefault="00B444DB" w:rsidP="00CB0661">
      <w:pPr>
        <w:rPr>
          <w:b/>
          <w:bCs/>
          <w:szCs w:val="20"/>
        </w:rPr>
      </w:pPr>
    </w:p>
    <w:p w:rsidR="00B444DB" w:rsidRDefault="00B444DB" w:rsidP="00CB0661">
      <w:pPr>
        <w:rPr>
          <w:bCs/>
          <w:szCs w:val="20"/>
          <w:u w:val="single"/>
        </w:rPr>
      </w:pPr>
    </w:p>
    <w:p w:rsidR="00B444DB" w:rsidRPr="00B444DB" w:rsidRDefault="00B444DB" w:rsidP="00CB0661">
      <w:pPr>
        <w:rPr>
          <w:b/>
          <w:bCs/>
          <w:szCs w:val="20"/>
        </w:rPr>
      </w:pPr>
      <w:r w:rsidRPr="00B444DB">
        <w:rPr>
          <w:b/>
          <w:bCs/>
          <w:szCs w:val="20"/>
        </w:rPr>
        <w:t>WBS 1.6 Software</w:t>
      </w:r>
    </w:p>
    <w:p w:rsidR="005F4818" w:rsidRDefault="005F4818" w:rsidP="00B3276F">
      <w:pPr>
        <w:widowControl w:val="0"/>
        <w:autoSpaceDE w:val="0"/>
        <w:autoSpaceDN w:val="0"/>
        <w:adjustRightInd w:val="0"/>
        <w:rPr>
          <w:szCs w:val="20"/>
        </w:rPr>
      </w:pPr>
    </w:p>
    <w:p w:rsidR="005F4818" w:rsidRDefault="005F4818" w:rsidP="00B3276F">
      <w:pPr>
        <w:widowControl w:val="0"/>
        <w:autoSpaceDE w:val="0"/>
        <w:autoSpaceDN w:val="0"/>
        <w:adjustRightInd w:val="0"/>
        <w:rPr>
          <w:szCs w:val="20"/>
        </w:rPr>
      </w:pPr>
    </w:p>
    <w:p w:rsidR="005F4818" w:rsidRPr="005F4818" w:rsidRDefault="005F4818" w:rsidP="00B3276F">
      <w:pPr>
        <w:widowControl w:val="0"/>
        <w:autoSpaceDE w:val="0"/>
        <w:autoSpaceDN w:val="0"/>
        <w:adjustRightInd w:val="0"/>
      </w:pPr>
      <w:r w:rsidRPr="005F4818">
        <w:t>The schedule for the offline software activities is being prepared, and a number of simulation activities that will support the physics mission of the project are underway.</w:t>
      </w:r>
    </w:p>
    <w:p w:rsidR="005F4818" w:rsidRDefault="005F4818" w:rsidP="00B3276F">
      <w:pPr>
        <w:widowControl w:val="0"/>
        <w:autoSpaceDE w:val="0"/>
        <w:autoSpaceDN w:val="0"/>
        <w:adjustRightInd w:val="0"/>
        <w:rPr>
          <w:rFonts w:ascii="Helvetica" w:hAnsi="Helvetica" w:cs="Helvetica"/>
          <w:sz w:val="22"/>
          <w:szCs w:val="22"/>
        </w:rPr>
      </w:pPr>
    </w:p>
    <w:p w:rsidR="005F4818" w:rsidRPr="005F4818" w:rsidRDefault="005F4818" w:rsidP="005F4818">
      <w:r w:rsidRPr="005F4818">
        <w:t>Physics simulations</w:t>
      </w:r>
    </w:p>
    <w:p w:rsidR="00B3276F" w:rsidRDefault="00B3276F" w:rsidP="00B3276F">
      <w:pPr>
        <w:widowControl w:val="0"/>
        <w:autoSpaceDE w:val="0"/>
        <w:autoSpaceDN w:val="0"/>
        <w:adjustRightInd w:val="0"/>
        <w:rPr>
          <w:rFonts w:ascii="Helvetica" w:hAnsi="Helvetica" w:cs="Helvetica"/>
          <w:sz w:val="22"/>
          <w:szCs w:val="22"/>
        </w:rPr>
      </w:pPr>
    </w:p>
    <w:p w:rsidR="005F4818" w:rsidRPr="005F4818" w:rsidRDefault="00B3276F" w:rsidP="005F4818">
      <w:pPr>
        <w:pStyle w:val="ListParagraph"/>
        <w:widowControl w:val="0"/>
        <w:numPr>
          <w:ilvl w:val="0"/>
          <w:numId w:val="3"/>
        </w:numPr>
        <w:autoSpaceDE w:val="0"/>
        <w:autoSpaceDN w:val="0"/>
        <w:adjustRightInd w:val="0"/>
        <w:ind w:left="360"/>
      </w:pPr>
      <w:r w:rsidRPr="005F4818">
        <w:t>High-z radiation GEANT simulation (Purdue). This work is</w:t>
      </w:r>
      <w:r w:rsidR="005F4818" w:rsidRPr="005F4818">
        <w:t xml:space="preserve"> </w:t>
      </w:r>
      <w:r w:rsidRPr="005F4818">
        <w:t>basically done</w:t>
      </w:r>
      <w:r w:rsidR="005F4818" w:rsidRPr="005F4818">
        <w:t xml:space="preserve"> and a note will be prepared</w:t>
      </w:r>
    </w:p>
    <w:p w:rsidR="005F4818" w:rsidRPr="005F4818" w:rsidRDefault="005F4818" w:rsidP="005F4818">
      <w:pPr>
        <w:pStyle w:val="ListParagraph"/>
        <w:widowControl w:val="0"/>
        <w:numPr>
          <w:ilvl w:val="0"/>
          <w:numId w:val="3"/>
        </w:numPr>
        <w:autoSpaceDE w:val="0"/>
        <w:autoSpaceDN w:val="0"/>
        <w:adjustRightInd w:val="0"/>
        <w:ind w:left="360"/>
      </w:pPr>
      <w:r w:rsidRPr="005F4818">
        <w:t>HFT+MTD production (Yifei, LBL</w:t>
      </w:r>
      <w:r w:rsidR="00B3276F" w:rsidRPr="005F4818">
        <w:t>) for B-&gt;J/Psi-&gt;muons studies is</w:t>
      </w:r>
      <w:r w:rsidRPr="005F4818">
        <w:t xml:space="preserve"> </w:t>
      </w:r>
      <w:r w:rsidR="00B3276F" w:rsidRPr="005F4818">
        <w:t>done and the initial QA was</w:t>
      </w:r>
      <w:r w:rsidRPr="005F4818">
        <w:t xml:space="preserve"> done and presented about a week </w:t>
      </w:r>
      <w:r w:rsidR="00B3276F" w:rsidRPr="005F4818">
        <w:t>ago in an MTD meeting.</w:t>
      </w:r>
    </w:p>
    <w:p w:rsidR="00B3276F" w:rsidRPr="005F4818" w:rsidRDefault="00B3276F" w:rsidP="005F4818">
      <w:pPr>
        <w:pStyle w:val="ListParagraph"/>
        <w:widowControl w:val="0"/>
        <w:numPr>
          <w:ilvl w:val="0"/>
          <w:numId w:val="3"/>
        </w:numPr>
        <w:autoSpaceDE w:val="0"/>
        <w:autoSpaceDN w:val="0"/>
        <w:adjustRightInd w:val="0"/>
        <w:ind w:left="360"/>
      </w:pPr>
      <w:r w:rsidRPr="005F4818">
        <w:t>The Ds work has resumed</w:t>
      </w:r>
      <w:r w:rsidR="005F4818" w:rsidRPr="005F4818">
        <w:t xml:space="preserve"> at UCLA with the help of a graduate student</w:t>
      </w:r>
      <w:r w:rsidRPr="005F4818">
        <w:t>.</w:t>
      </w:r>
    </w:p>
    <w:p w:rsidR="00B3276F" w:rsidRPr="005F4818" w:rsidRDefault="00B3276F" w:rsidP="005F4818">
      <w:pPr>
        <w:widowControl w:val="0"/>
        <w:autoSpaceDE w:val="0"/>
        <w:autoSpaceDN w:val="0"/>
        <w:adjustRightInd w:val="0"/>
      </w:pPr>
    </w:p>
    <w:p w:rsidR="00316D06" w:rsidRPr="005F4818" w:rsidRDefault="00316D06" w:rsidP="00CB0661"/>
    <w:p w:rsidR="00CB0661" w:rsidRDefault="00CB0661" w:rsidP="00CB0661">
      <w:pPr>
        <w:rPr>
          <w:b/>
          <w:bCs/>
          <w:sz w:val="28"/>
          <w:szCs w:val="20"/>
        </w:rPr>
      </w:pPr>
    </w:p>
    <w:p w:rsidR="00C521E8" w:rsidRDefault="00316D06" w:rsidP="00CB0661">
      <w:pPr>
        <w:rPr>
          <w:b/>
          <w:bCs/>
          <w:sz w:val="28"/>
          <w:szCs w:val="20"/>
        </w:rPr>
      </w:pPr>
      <w:r w:rsidRPr="00316D06">
        <w:rPr>
          <w:b/>
          <w:bCs/>
          <w:sz w:val="28"/>
          <w:szCs w:val="20"/>
        </w:rPr>
        <w:t>Financial Status</w:t>
      </w:r>
    </w:p>
    <w:p w:rsidR="00C521E8" w:rsidRDefault="00C521E8" w:rsidP="00CB0661">
      <w:pPr>
        <w:rPr>
          <w:b/>
          <w:bCs/>
          <w:sz w:val="28"/>
          <w:szCs w:val="20"/>
        </w:rPr>
      </w:pPr>
    </w:p>
    <w:p w:rsidR="00316D06" w:rsidRPr="002739DE" w:rsidRDefault="00C521E8" w:rsidP="00CB0661">
      <w:pPr>
        <w:rPr>
          <w:bCs/>
          <w:szCs w:val="20"/>
        </w:rPr>
      </w:pPr>
      <w:r w:rsidRPr="002739DE">
        <w:rPr>
          <w:bCs/>
          <w:szCs w:val="20"/>
        </w:rPr>
        <w:t xml:space="preserve">Project funds until CD1 approval have been the R&amp;D funds allocated to LBNL in April 2010. This being the first monthly report only those funds are shown, as the distribution on other WBS items </w:t>
      </w:r>
    </w:p>
    <w:p w:rsidR="00CB0661" w:rsidRDefault="00CB0661" w:rsidP="00CB0661">
      <w:pPr>
        <w:rPr>
          <w:b/>
          <w:bCs/>
          <w:sz w:val="28"/>
          <w:szCs w:val="20"/>
        </w:rPr>
      </w:pPr>
    </w:p>
    <w:p w:rsidR="00CB0661" w:rsidRDefault="00CB0661" w:rsidP="00CB0661">
      <w:pPr>
        <w:rPr>
          <w:b/>
          <w:bCs/>
          <w:sz w:val="28"/>
          <w:szCs w:val="20"/>
        </w:rPr>
      </w:pPr>
    </w:p>
    <w:tbl>
      <w:tblPr>
        <w:tblW w:w="9100" w:type="dxa"/>
        <w:tblInd w:w="88" w:type="dxa"/>
        <w:tblLook w:val="0000"/>
      </w:tblPr>
      <w:tblGrid>
        <w:gridCol w:w="912"/>
        <w:gridCol w:w="1515"/>
        <w:gridCol w:w="1118"/>
        <w:gridCol w:w="1023"/>
        <w:gridCol w:w="1130"/>
        <w:gridCol w:w="1778"/>
        <w:gridCol w:w="1624"/>
      </w:tblGrid>
      <w:tr w:rsidR="006B3232" w:rsidRPr="006B3232">
        <w:trPr>
          <w:trHeight w:val="52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B3232" w:rsidRPr="006B3232" w:rsidRDefault="006B3232" w:rsidP="006B3232">
            <w:pPr>
              <w:rPr>
                <w:rFonts w:ascii="Verdana" w:hAnsi="Verdana"/>
                <w:b/>
                <w:bCs/>
                <w:sz w:val="20"/>
                <w:szCs w:val="20"/>
              </w:rPr>
            </w:pPr>
            <w:r w:rsidRPr="006B3232">
              <w:rPr>
                <w:rFonts w:ascii="Verdana" w:hAnsi="Verdana"/>
                <w:b/>
                <w:bCs/>
                <w:sz w:val="20"/>
                <w:szCs w:val="20"/>
              </w:rPr>
              <w:t>WBS</w:t>
            </w:r>
          </w:p>
        </w:tc>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B3232" w:rsidRPr="006B3232" w:rsidRDefault="006B3232" w:rsidP="006B3232">
            <w:pPr>
              <w:rPr>
                <w:rFonts w:ascii="Verdana" w:hAnsi="Verdana"/>
                <w:b/>
                <w:bCs/>
                <w:sz w:val="20"/>
                <w:szCs w:val="20"/>
              </w:rPr>
            </w:pPr>
            <w:r w:rsidRPr="006B3232">
              <w:rPr>
                <w:rFonts w:ascii="Verdana" w:hAnsi="Verdana"/>
                <w:b/>
                <w:bCs/>
                <w:sz w:val="20"/>
                <w:szCs w:val="20"/>
              </w:rPr>
              <w:t>Title</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bottom"/>
          </w:tcPr>
          <w:p w:rsidR="006B3232" w:rsidRPr="006B3232" w:rsidRDefault="006B3232" w:rsidP="006B3232">
            <w:pPr>
              <w:rPr>
                <w:rFonts w:ascii="Verdana" w:hAnsi="Verdana"/>
                <w:b/>
                <w:bCs/>
                <w:sz w:val="20"/>
                <w:szCs w:val="20"/>
              </w:rPr>
            </w:pPr>
            <w:r w:rsidRPr="006B3232">
              <w:rPr>
                <w:rFonts w:ascii="Verdana" w:hAnsi="Verdana"/>
                <w:b/>
                <w:bCs/>
                <w:sz w:val="20"/>
                <w:szCs w:val="20"/>
              </w:rPr>
              <w:t>Monthly Actual</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B3232" w:rsidRPr="006B3232" w:rsidRDefault="006B3232" w:rsidP="006B3232">
            <w:pPr>
              <w:rPr>
                <w:rFonts w:ascii="Verdana" w:hAnsi="Verdana"/>
                <w:b/>
                <w:bCs/>
                <w:sz w:val="20"/>
                <w:szCs w:val="20"/>
              </w:rPr>
            </w:pPr>
            <w:r w:rsidRPr="006B3232">
              <w:rPr>
                <w:rFonts w:ascii="Verdana" w:hAnsi="Verdana"/>
                <w:b/>
                <w:bCs/>
                <w:sz w:val="20"/>
                <w:szCs w:val="20"/>
              </w:rPr>
              <w:t>FY to Date</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bottom"/>
          </w:tcPr>
          <w:p w:rsidR="006B3232" w:rsidRPr="006B3232" w:rsidRDefault="006B3232" w:rsidP="006B3232">
            <w:pPr>
              <w:rPr>
                <w:rFonts w:ascii="Verdana" w:hAnsi="Verdana"/>
                <w:b/>
                <w:bCs/>
                <w:sz w:val="20"/>
                <w:szCs w:val="20"/>
              </w:rPr>
            </w:pPr>
            <w:r w:rsidRPr="006B3232">
              <w:rPr>
                <w:rFonts w:ascii="Verdana" w:hAnsi="Verdana"/>
                <w:b/>
                <w:bCs/>
                <w:sz w:val="20"/>
                <w:szCs w:val="20"/>
              </w:rPr>
              <w:t>Project to Date</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B3232" w:rsidRPr="006B3232" w:rsidRDefault="006B3232" w:rsidP="006B3232">
            <w:pPr>
              <w:rPr>
                <w:rFonts w:ascii="Verdana" w:hAnsi="Verdana"/>
                <w:b/>
                <w:bCs/>
                <w:sz w:val="20"/>
                <w:szCs w:val="20"/>
              </w:rPr>
            </w:pPr>
            <w:r w:rsidRPr="006B3232">
              <w:rPr>
                <w:rFonts w:ascii="Verdana" w:hAnsi="Verdana"/>
                <w:b/>
                <w:bCs/>
                <w:sz w:val="20"/>
                <w:szCs w:val="20"/>
              </w:rPr>
              <w:t>Commitments</w:t>
            </w:r>
          </w:p>
        </w:tc>
        <w:tc>
          <w:tcPr>
            <w:tcW w:w="1660" w:type="dxa"/>
            <w:tcBorders>
              <w:top w:val="single" w:sz="4" w:space="0" w:color="auto"/>
              <w:left w:val="single" w:sz="4" w:space="0" w:color="auto"/>
              <w:bottom w:val="single" w:sz="4" w:space="0" w:color="auto"/>
              <w:right w:val="single" w:sz="4" w:space="0" w:color="auto"/>
            </w:tcBorders>
            <w:shd w:val="clear" w:color="auto" w:fill="auto"/>
            <w:vAlign w:val="bottom"/>
          </w:tcPr>
          <w:p w:rsidR="006B3232" w:rsidRPr="006B3232" w:rsidRDefault="006B3232" w:rsidP="006B3232">
            <w:pPr>
              <w:rPr>
                <w:rFonts w:ascii="Verdana" w:hAnsi="Verdana"/>
                <w:b/>
                <w:bCs/>
                <w:sz w:val="20"/>
                <w:szCs w:val="20"/>
              </w:rPr>
            </w:pPr>
            <w:r w:rsidRPr="006B3232">
              <w:rPr>
                <w:rFonts w:ascii="Verdana" w:hAnsi="Verdana"/>
                <w:b/>
                <w:bCs/>
                <w:sz w:val="20"/>
                <w:szCs w:val="20"/>
              </w:rPr>
              <w:t xml:space="preserve">Cost at </w:t>
            </w:r>
            <w:r w:rsidR="00A1557D" w:rsidRPr="006B3232">
              <w:rPr>
                <w:rFonts w:ascii="Verdana" w:hAnsi="Verdana"/>
                <w:b/>
                <w:bCs/>
                <w:sz w:val="20"/>
                <w:szCs w:val="20"/>
              </w:rPr>
              <w:t>Completion</w:t>
            </w:r>
          </w:p>
        </w:tc>
      </w:tr>
      <w:tr w:rsidR="006B3232" w:rsidRPr="006B3232">
        <w:trPr>
          <w:trHeight w:val="26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B3232" w:rsidRPr="006B3232" w:rsidRDefault="006B3232" w:rsidP="006B3232">
            <w:pPr>
              <w:jc w:val="right"/>
              <w:rPr>
                <w:rFonts w:ascii="Verdana" w:hAnsi="Verdana"/>
                <w:sz w:val="20"/>
                <w:szCs w:val="20"/>
              </w:rPr>
            </w:pPr>
            <w:r w:rsidRPr="006B3232">
              <w:rPr>
                <w:rFonts w:ascii="Verdana" w:hAnsi="Verdana"/>
                <w:sz w:val="20"/>
                <w:szCs w:val="20"/>
              </w:rPr>
              <w:t>1.1</w:t>
            </w:r>
          </w:p>
        </w:tc>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B3232" w:rsidRPr="006B3232" w:rsidRDefault="006B3232" w:rsidP="006B3232">
            <w:pPr>
              <w:rPr>
                <w:rFonts w:ascii="Verdana" w:hAnsi="Verdana"/>
                <w:sz w:val="20"/>
                <w:szCs w:val="20"/>
              </w:rPr>
            </w:pPr>
            <w:r w:rsidRPr="006B3232">
              <w:rPr>
                <w:rFonts w:ascii="Verdana" w:hAnsi="Verdana"/>
                <w:sz w:val="20"/>
                <w:szCs w:val="20"/>
              </w:rPr>
              <w:t>Management</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B3232" w:rsidRPr="006B3232" w:rsidRDefault="006B3232" w:rsidP="006B3232">
            <w:pPr>
              <w:rPr>
                <w:rFonts w:ascii="Verdana" w:hAnsi="Verdana"/>
                <w:sz w:val="20"/>
                <w:szCs w:val="20"/>
              </w:rPr>
            </w:pPr>
            <w:r w:rsidRPr="006B3232">
              <w:rPr>
                <w:rFonts w:ascii="Verdana" w:hAnsi="Verdana"/>
                <w:sz w:val="20"/>
                <w:szCs w:val="20"/>
              </w:rPr>
              <w:t> </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B3232" w:rsidRPr="006B3232" w:rsidRDefault="006B3232" w:rsidP="006B3232">
            <w:pPr>
              <w:rPr>
                <w:rFonts w:ascii="Verdana" w:hAnsi="Verdana"/>
                <w:sz w:val="20"/>
                <w:szCs w:val="20"/>
              </w:rPr>
            </w:pPr>
            <w:r w:rsidRPr="006B3232">
              <w:rPr>
                <w:rFonts w:ascii="Verdana" w:hAnsi="Verdana"/>
                <w:sz w:val="20"/>
                <w:szCs w:val="20"/>
              </w:rPr>
              <w:t> </w:t>
            </w:r>
          </w:p>
        </w:tc>
        <w:tc>
          <w:tcPr>
            <w:tcW w:w="11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B3232" w:rsidRPr="006B3232" w:rsidRDefault="006B3232" w:rsidP="006B3232">
            <w:pPr>
              <w:rPr>
                <w:rFonts w:ascii="Verdana" w:hAnsi="Verdana"/>
                <w:sz w:val="20"/>
                <w:szCs w:val="20"/>
              </w:rPr>
            </w:pPr>
            <w:r w:rsidRPr="006B3232">
              <w:rPr>
                <w:rFonts w:ascii="Verdana" w:hAnsi="Verdana"/>
                <w:sz w:val="20"/>
                <w:szCs w:val="20"/>
              </w:rPr>
              <w:t> </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B3232" w:rsidRPr="006B3232" w:rsidRDefault="006B3232" w:rsidP="006B3232">
            <w:pPr>
              <w:rPr>
                <w:rFonts w:ascii="Verdana" w:hAnsi="Verdana"/>
                <w:sz w:val="20"/>
                <w:szCs w:val="20"/>
              </w:rPr>
            </w:pPr>
            <w:r w:rsidRPr="006B3232">
              <w:rPr>
                <w:rFonts w:ascii="Verdana" w:hAnsi="Verdana"/>
                <w:sz w:val="20"/>
                <w:szCs w:val="20"/>
              </w:rPr>
              <w:t> </w:t>
            </w:r>
          </w:p>
        </w:tc>
        <w:tc>
          <w:tcPr>
            <w:tcW w:w="16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B3232" w:rsidRPr="006B3232" w:rsidRDefault="006B3232" w:rsidP="006B3232">
            <w:pPr>
              <w:rPr>
                <w:rFonts w:ascii="Verdana" w:hAnsi="Verdana"/>
                <w:sz w:val="20"/>
                <w:szCs w:val="20"/>
              </w:rPr>
            </w:pPr>
            <w:r w:rsidRPr="006B3232">
              <w:rPr>
                <w:rFonts w:ascii="Verdana" w:hAnsi="Verdana"/>
                <w:sz w:val="20"/>
                <w:szCs w:val="20"/>
              </w:rPr>
              <w:t> </w:t>
            </w:r>
          </w:p>
        </w:tc>
      </w:tr>
      <w:tr w:rsidR="006B3232" w:rsidRPr="006B3232">
        <w:trPr>
          <w:trHeight w:val="26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B3232" w:rsidRPr="006B3232" w:rsidRDefault="006B3232" w:rsidP="006B3232">
            <w:pPr>
              <w:jc w:val="right"/>
              <w:rPr>
                <w:rFonts w:ascii="Verdana" w:hAnsi="Verdana"/>
                <w:sz w:val="20"/>
                <w:szCs w:val="20"/>
              </w:rPr>
            </w:pPr>
            <w:r w:rsidRPr="006B3232">
              <w:rPr>
                <w:rFonts w:ascii="Verdana" w:hAnsi="Verdana"/>
                <w:sz w:val="20"/>
                <w:szCs w:val="20"/>
              </w:rPr>
              <w:t>1.2</w:t>
            </w:r>
          </w:p>
        </w:tc>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B3232" w:rsidRPr="006B3232" w:rsidRDefault="006B3232" w:rsidP="006B3232">
            <w:pPr>
              <w:rPr>
                <w:rFonts w:ascii="Verdana" w:hAnsi="Verdana"/>
                <w:sz w:val="20"/>
                <w:szCs w:val="20"/>
              </w:rPr>
            </w:pPr>
            <w:r w:rsidRPr="006B3232">
              <w:rPr>
                <w:rFonts w:ascii="Verdana" w:hAnsi="Verdana"/>
                <w:sz w:val="20"/>
                <w:szCs w:val="20"/>
              </w:rPr>
              <w:t>PXL</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B3232" w:rsidRPr="006B3232" w:rsidRDefault="006B3232" w:rsidP="006B3232">
            <w:pPr>
              <w:rPr>
                <w:rFonts w:ascii="Verdana" w:hAnsi="Verdana"/>
                <w:sz w:val="20"/>
                <w:szCs w:val="20"/>
              </w:rPr>
            </w:pPr>
            <w:r w:rsidRPr="006B3232">
              <w:rPr>
                <w:rFonts w:ascii="Verdana" w:hAnsi="Verdana"/>
                <w:sz w:val="20"/>
                <w:szCs w:val="20"/>
              </w:rPr>
              <w:t> </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B3232" w:rsidRPr="006B3232" w:rsidRDefault="006B3232" w:rsidP="006B3232">
            <w:pPr>
              <w:rPr>
                <w:rFonts w:ascii="Verdana" w:hAnsi="Verdana"/>
                <w:sz w:val="20"/>
                <w:szCs w:val="20"/>
              </w:rPr>
            </w:pPr>
            <w:r w:rsidRPr="006B3232">
              <w:rPr>
                <w:rFonts w:ascii="Verdana" w:hAnsi="Verdana"/>
                <w:sz w:val="20"/>
                <w:szCs w:val="20"/>
              </w:rPr>
              <w:t> </w:t>
            </w:r>
          </w:p>
        </w:tc>
        <w:tc>
          <w:tcPr>
            <w:tcW w:w="11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B3232" w:rsidRPr="006B3232" w:rsidRDefault="006B3232" w:rsidP="006B3232">
            <w:pPr>
              <w:rPr>
                <w:rFonts w:ascii="Verdana" w:hAnsi="Verdana"/>
                <w:sz w:val="20"/>
                <w:szCs w:val="20"/>
              </w:rPr>
            </w:pPr>
            <w:r w:rsidRPr="006B3232">
              <w:rPr>
                <w:rFonts w:ascii="Verdana" w:hAnsi="Verdana"/>
                <w:sz w:val="20"/>
                <w:szCs w:val="20"/>
              </w:rPr>
              <w:t> </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B3232" w:rsidRPr="006B3232" w:rsidRDefault="006B3232" w:rsidP="006B3232">
            <w:pPr>
              <w:rPr>
                <w:rFonts w:ascii="Verdana" w:hAnsi="Verdana"/>
                <w:sz w:val="20"/>
                <w:szCs w:val="20"/>
              </w:rPr>
            </w:pPr>
            <w:r w:rsidRPr="006B3232">
              <w:rPr>
                <w:rFonts w:ascii="Verdana" w:hAnsi="Verdana"/>
                <w:sz w:val="20"/>
                <w:szCs w:val="20"/>
              </w:rPr>
              <w:t> </w:t>
            </w:r>
          </w:p>
        </w:tc>
        <w:tc>
          <w:tcPr>
            <w:tcW w:w="16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B3232" w:rsidRPr="006B3232" w:rsidRDefault="006B3232" w:rsidP="006B3232">
            <w:pPr>
              <w:rPr>
                <w:rFonts w:ascii="Verdana" w:hAnsi="Verdana"/>
                <w:sz w:val="20"/>
                <w:szCs w:val="20"/>
              </w:rPr>
            </w:pPr>
            <w:r w:rsidRPr="006B3232">
              <w:rPr>
                <w:rFonts w:ascii="Verdana" w:hAnsi="Verdana"/>
                <w:sz w:val="20"/>
                <w:szCs w:val="20"/>
              </w:rPr>
              <w:t> </w:t>
            </w:r>
          </w:p>
        </w:tc>
      </w:tr>
      <w:tr w:rsidR="006B3232" w:rsidRPr="006B3232">
        <w:trPr>
          <w:trHeight w:val="26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B3232" w:rsidRPr="006B3232" w:rsidRDefault="006B3232" w:rsidP="006B3232">
            <w:pPr>
              <w:jc w:val="right"/>
              <w:rPr>
                <w:rFonts w:ascii="Verdana" w:hAnsi="Verdana"/>
                <w:sz w:val="20"/>
                <w:szCs w:val="20"/>
              </w:rPr>
            </w:pPr>
            <w:r w:rsidRPr="006B3232">
              <w:rPr>
                <w:rFonts w:ascii="Verdana" w:hAnsi="Verdana"/>
                <w:sz w:val="20"/>
                <w:szCs w:val="20"/>
              </w:rPr>
              <w:t>1.3</w:t>
            </w:r>
          </w:p>
        </w:tc>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B3232" w:rsidRPr="006B3232" w:rsidRDefault="006B3232" w:rsidP="006B3232">
            <w:pPr>
              <w:rPr>
                <w:rFonts w:ascii="Verdana" w:hAnsi="Verdana"/>
                <w:sz w:val="20"/>
                <w:szCs w:val="20"/>
              </w:rPr>
            </w:pPr>
            <w:r w:rsidRPr="006B3232">
              <w:rPr>
                <w:rFonts w:ascii="Verdana" w:hAnsi="Verdana"/>
                <w:sz w:val="20"/>
                <w:szCs w:val="20"/>
              </w:rPr>
              <w:t>IST</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B3232" w:rsidRPr="006B3232" w:rsidRDefault="006B3232" w:rsidP="006B3232">
            <w:pPr>
              <w:rPr>
                <w:rFonts w:ascii="Verdana" w:hAnsi="Verdana"/>
                <w:sz w:val="20"/>
                <w:szCs w:val="20"/>
              </w:rPr>
            </w:pPr>
            <w:r w:rsidRPr="006B3232">
              <w:rPr>
                <w:rFonts w:ascii="Verdana" w:hAnsi="Verdana"/>
                <w:sz w:val="20"/>
                <w:szCs w:val="20"/>
              </w:rPr>
              <w:t> </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B3232" w:rsidRPr="006B3232" w:rsidRDefault="006B3232" w:rsidP="006B3232">
            <w:pPr>
              <w:rPr>
                <w:rFonts w:ascii="Verdana" w:hAnsi="Verdana"/>
                <w:sz w:val="20"/>
                <w:szCs w:val="20"/>
              </w:rPr>
            </w:pPr>
            <w:r w:rsidRPr="006B3232">
              <w:rPr>
                <w:rFonts w:ascii="Verdana" w:hAnsi="Verdana"/>
                <w:sz w:val="20"/>
                <w:szCs w:val="20"/>
              </w:rPr>
              <w:t> </w:t>
            </w:r>
          </w:p>
        </w:tc>
        <w:tc>
          <w:tcPr>
            <w:tcW w:w="11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B3232" w:rsidRPr="006B3232" w:rsidRDefault="006B3232" w:rsidP="006B3232">
            <w:pPr>
              <w:rPr>
                <w:rFonts w:ascii="Verdana" w:hAnsi="Verdana"/>
                <w:sz w:val="20"/>
                <w:szCs w:val="20"/>
              </w:rPr>
            </w:pPr>
            <w:r w:rsidRPr="006B3232">
              <w:rPr>
                <w:rFonts w:ascii="Verdana" w:hAnsi="Verdana"/>
                <w:sz w:val="20"/>
                <w:szCs w:val="20"/>
              </w:rPr>
              <w:t> </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B3232" w:rsidRPr="006B3232" w:rsidRDefault="006B3232" w:rsidP="006B3232">
            <w:pPr>
              <w:rPr>
                <w:rFonts w:ascii="Verdana" w:hAnsi="Verdana"/>
                <w:sz w:val="20"/>
                <w:szCs w:val="20"/>
              </w:rPr>
            </w:pPr>
            <w:r w:rsidRPr="006B3232">
              <w:rPr>
                <w:rFonts w:ascii="Verdana" w:hAnsi="Verdana"/>
                <w:sz w:val="20"/>
                <w:szCs w:val="20"/>
              </w:rPr>
              <w:t> </w:t>
            </w:r>
          </w:p>
        </w:tc>
        <w:tc>
          <w:tcPr>
            <w:tcW w:w="16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B3232" w:rsidRPr="006B3232" w:rsidRDefault="006B3232" w:rsidP="006B3232">
            <w:pPr>
              <w:rPr>
                <w:rFonts w:ascii="Verdana" w:hAnsi="Verdana"/>
                <w:sz w:val="20"/>
                <w:szCs w:val="20"/>
              </w:rPr>
            </w:pPr>
            <w:r w:rsidRPr="006B3232">
              <w:rPr>
                <w:rFonts w:ascii="Verdana" w:hAnsi="Verdana"/>
                <w:sz w:val="20"/>
                <w:szCs w:val="20"/>
              </w:rPr>
              <w:t> </w:t>
            </w:r>
          </w:p>
        </w:tc>
      </w:tr>
      <w:tr w:rsidR="006B3232" w:rsidRPr="006B3232">
        <w:trPr>
          <w:trHeight w:val="26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B3232" w:rsidRPr="006B3232" w:rsidRDefault="006B3232" w:rsidP="006B3232">
            <w:pPr>
              <w:jc w:val="right"/>
              <w:rPr>
                <w:rFonts w:ascii="Verdana" w:hAnsi="Verdana"/>
                <w:sz w:val="20"/>
                <w:szCs w:val="20"/>
              </w:rPr>
            </w:pPr>
            <w:r w:rsidRPr="006B3232">
              <w:rPr>
                <w:rFonts w:ascii="Verdana" w:hAnsi="Verdana"/>
                <w:sz w:val="20"/>
                <w:szCs w:val="20"/>
              </w:rPr>
              <w:t>1.4</w:t>
            </w:r>
          </w:p>
        </w:tc>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B3232" w:rsidRPr="006B3232" w:rsidRDefault="006B3232" w:rsidP="006B3232">
            <w:pPr>
              <w:rPr>
                <w:rFonts w:ascii="Verdana" w:hAnsi="Verdana"/>
                <w:sz w:val="20"/>
                <w:szCs w:val="20"/>
              </w:rPr>
            </w:pPr>
            <w:r w:rsidRPr="006B3232">
              <w:rPr>
                <w:rFonts w:ascii="Verdana" w:hAnsi="Verdana"/>
                <w:sz w:val="20"/>
                <w:szCs w:val="20"/>
              </w:rPr>
              <w:t>SSD</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B3232" w:rsidRPr="006B3232" w:rsidRDefault="006B3232" w:rsidP="006B3232">
            <w:pPr>
              <w:rPr>
                <w:rFonts w:ascii="Verdana" w:hAnsi="Verdana"/>
                <w:sz w:val="20"/>
                <w:szCs w:val="20"/>
              </w:rPr>
            </w:pPr>
            <w:r w:rsidRPr="006B3232">
              <w:rPr>
                <w:rFonts w:ascii="Verdana" w:hAnsi="Verdana"/>
                <w:sz w:val="20"/>
                <w:szCs w:val="20"/>
              </w:rPr>
              <w:t> </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B3232" w:rsidRPr="006B3232" w:rsidRDefault="006B3232" w:rsidP="006B3232">
            <w:pPr>
              <w:rPr>
                <w:rFonts w:ascii="Verdana" w:hAnsi="Verdana"/>
                <w:sz w:val="20"/>
                <w:szCs w:val="20"/>
              </w:rPr>
            </w:pPr>
            <w:r w:rsidRPr="006B3232">
              <w:rPr>
                <w:rFonts w:ascii="Verdana" w:hAnsi="Verdana"/>
                <w:sz w:val="20"/>
                <w:szCs w:val="20"/>
              </w:rPr>
              <w:t> </w:t>
            </w:r>
          </w:p>
        </w:tc>
        <w:tc>
          <w:tcPr>
            <w:tcW w:w="11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B3232" w:rsidRPr="006B3232" w:rsidRDefault="006B3232" w:rsidP="006B3232">
            <w:pPr>
              <w:rPr>
                <w:rFonts w:ascii="Verdana" w:hAnsi="Verdana"/>
                <w:sz w:val="20"/>
                <w:szCs w:val="20"/>
              </w:rPr>
            </w:pPr>
            <w:r w:rsidRPr="006B3232">
              <w:rPr>
                <w:rFonts w:ascii="Verdana" w:hAnsi="Verdana"/>
                <w:sz w:val="20"/>
                <w:szCs w:val="20"/>
              </w:rPr>
              <w:t> </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B3232" w:rsidRPr="006B3232" w:rsidRDefault="006B3232" w:rsidP="006B3232">
            <w:pPr>
              <w:rPr>
                <w:rFonts w:ascii="Verdana" w:hAnsi="Verdana"/>
                <w:sz w:val="20"/>
                <w:szCs w:val="20"/>
              </w:rPr>
            </w:pPr>
            <w:r w:rsidRPr="006B3232">
              <w:rPr>
                <w:rFonts w:ascii="Verdana" w:hAnsi="Verdana"/>
                <w:sz w:val="20"/>
                <w:szCs w:val="20"/>
              </w:rPr>
              <w:t> </w:t>
            </w:r>
          </w:p>
        </w:tc>
        <w:tc>
          <w:tcPr>
            <w:tcW w:w="16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B3232" w:rsidRPr="006B3232" w:rsidRDefault="006B3232" w:rsidP="006B3232">
            <w:pPr>
              <w:rPr>
                <w:rFonts w:ascii="Verdana" w:hAnsi="Verdana"/>
                <w:sz w:val="20"/>
                <w:szCs w:val="20"/>
              </w:rPr>
            </w:pPr>
            <w:r w:rsidRPr="006B3232">
              <w:rPr>
                <w:rFonts w:ascii="Verdana" w:hAnsi="Verdana"/>
                <w:sz w:val="20"/>
                <w:szCs w:val="20"/>
              </w:rPr>
              <w:t> </w:t>
            </w:r>
          </w:p>
        </w:tc>
      </w:tr>
      <w:tr w:rsidR="006B3232" w:rsidRPr="006B3232">
        <w:trPr>
          <w:trHeight w:val="26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B3232" w:rsidRPr="006B3232" w:rsidRDefault="006B3232" w:rsidP="006B3232">
            <w:pPr>
              <w:jc w:val="right"/>
              <w:rPr>
                <w:rFonts w:ascii="Verdana" w:hAnsi="Verdana"/>
                <w:sz w:val="20"/>
                <w:szCs w:val="20"/>
              </w:rPr>
            </w:pPr>
            <w:r w:rsidRPr="006B3232">
              <w:rPr>
                <w:rFonts w:ascii="Verdana" w:hAnsi="Verdana"/>
                <w:sz w:val="20"/>
                <w:szCs w:val="20"/>
              </w:rPr>
              <w:t>1.5</w:t>
            </w:r>
          </w:p>
        </w:tc>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B3232" w:rsidRPr="006B3232" w:rsidRDefault="006B3232" w:rsidP="006B3232">
            <w:pPr>
              <w:rPr>
                <w:rFonts w:ascii="Verdana" w:hAnsi="Verdana"/>
                <w:sz w:val="20"/>
                <w:szCs w:val="20"/>
              </w:rPr>
            </w:pPr>
            <w:r w:rsidRPr="006B3232">
              <w:rPr>
                <w:rFonts w:ascii="Verdana" w:hAnsi="Verdana"/>
                <w:sz w:val="20"/>
                <w:szCs w:val="20"/>
              </w:rPr>
              <w:t>Software</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B3232" w:rsidRPr="006B3232" w:rsidRDefault="006B3232" w:rsidP="006B3232">
            <w:pPr>
              <w:rPr>
                <w:rFonts w:ascii="Verdana" w:hAnsi="Verdana"/>
                <w:sz w:val="20"/>
                <w:szCs w:val="20"/>
              </w:rPr>
            </w:pPr>
            <w:r w:rsidRPr="006B3232">
              <w:rPr>
                <w:rFonts w:ascii="Verdana" w:hAnsi="Verdana"/>
                <w:sz w:val="20"/>
                <w:szCs w:val="20"/>
              </w:rPr>
              <w:t> </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B3232" w:rsidRPr="006B3232" w:rsidRDefault="006B3232" w:rsidP="006B3232">
            <w:pPr>
              <w:rPr>
                <w:rFonts w:ascii="Verdana" w:hAnsi="Verdana"/>
                <w:sz w:val="20"/>
                <w:szCs w:val="20"/>
              </w:rPr>
            </w:pPr>
            <w:r w:rsidRPr="006B3232">
              <w:rPr>
                <w:rFonts w:ascii="Verdana" w:hAnsi="Verdana"/>
                <w:sz w:val="20"/>
                <w:szCs w:val="20"/>
              </w:rPr>
              <w:t> </w:t>
            </w:r>
          </w:p>
        </w:tc>
        <w:tc>
          <w:tcPr>
            <w:tcW w:w="11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B3232" w:rsidRPr="006B3232" w:rsidRDefault="006B3232" w:rsidP="006B3232">
            <w:pPr>
              <w:rPr>
                <w:rFonts w:ascii="Verdana" w:hAnsi="Verdana"/>
                <w:sz w:val="20"/>
                <w:szCs w:val="20"/>
              </w:rPr>
            </w:pPr>
            <w:r w:rsidRPr="006B3232">
              <w:rPr>
                <w:rFonts w:ascii="Verdana" w:hAnsi="Verdana"/>
                <w:sz w:val="20"/>
                <w:szCs w:val="20"/>
              </w:rPr>
              <w:t> </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B3232" w:rsidRPr="006B3232" w:rsidRDefault="006B3232" w:rsidP="006B3232">
            <w:pPr>
              <w:rPr>
                <w:rFonts w:ascii="Verdana" w:hAnsi="Verdana"/>
                <w:sz w:val="20"/>
                <w:szCs w:val="20"/>
              </w:rPr>
            </w:pPr>
            <w:r w:rsidRPr="006B3232">
              <w:rPr>
                <w:rFonts w:ascii="Verdana" w:hAnsi="Verdana"/>
                <w:sz w:val="20"/>
                <w:szCs w:val="20"/>
              </w:rPr>
              <w:t> </w:t>
            </w:r>
          </w:p>
        </w:tc>
        <w:tc>
          <w:tcPr>
            <w:tcW w:w="16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B3232" w:rsidRPr="006B3232" w:rsidRDefault="006B3232" w:rsidP="006B3232">
            <w:pPr>
              <w:rPr>
                <w:rFonts w:ascii="Verdana" w:hAnsi="Verdana"/>
                <w:sz w:val="20"/>
                <w:szCs w:val="20"/>
              </w:rPr>
            </w:pPr>
            <w:r w:rsidRPr="006B3232">
              <w:rPr>
                <w:rFonts w:ascii="Verdana" w:hAnsi="Verdana"/>
                <w:sz w:val="20"/>
                <w:szCs w:val="20"/>
              </w:rPr>
              <w:t> </w:t>
            </w:r>
          </w:p>
        </w:tc>
      </w:tr>
      <w:tr w:rsidR="006B3232" w:rsidRPr="006B3232">
        <w:trPr>
          <w:trHeight w:val="26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B3232" w:rsidRPr="006B3232" w:rsidRDefault="006B3232" w:rsidP="006B3232">
            <w:pPr>
              <w:rPr>
                <w:rFonts w:ascii="Verdana" w:hAnsi="Verdana"/>
                <w:sz w:val="20"/>
                <w:szCs w:val="20"/>
              </w:rPr>
            </w:pPr>
            <w:r w:rsidRPr="006B3232">
              <w:rPr>
                <w:rFonts w:ascii="Verdana" w:hAnsi="Verdana"/>
                <w:sz w:val="20"/>
                <w:szCs w:val="20"/>
              </w:rPr>
              <w:t> </w:t>
            </w:r>
          </w:p>
        </w:tc>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B3232" w:rsidRPr="006B3232" w:rsidRDefault="006B3232" w:rsidP="006B3232">
            <w:pPr>
              <w:rPr>
                <w:rFonts w:ascii="Verdana" w:hAnsi="Verdana"/>
                <w:sz w:val="20"/>
                <w:szCs w:val="20"/>
              </w:rPr>
            </w:pPr>
            <w:r w:rsidRPr="006B3232">
              <w:rPr>
                <w:rFonts w:ascii="Verdana" w:hAnsi="Verdana"/>
                <w:sz w:val="20"/>
                <w:szCs w:val="20"/>
              </w:rPr>
              <w:t>R&amp;D</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B3232" w:rsidRPr="006B3232" w:rsidRDefault="006B3232" w:rsidP="006B3232">
            <w:pPr>
              <w:rPr>
                <w:rFonts w:ascii="Verdana" w:hAnsi="Verdana"/>
                <w:sz w:val="20"/>
                <w:szCs w:val="20"/>
              </w:rPr>
            </w:pPr>
            <w:r w:rsidRPr="006B3232">
              <w:rPr>
                <w:rFonts w:ascii="Verdana" w:hAnsi="Verdana"/>
                <w:sz w:val="20"/>
                <w:szCs w:val="20"/>
              </w:rPr>
              <w:t> </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B3232" w:rsidRPr="006B3232" w:rsidRDefault="006B3232" w:rsidP="006B3232">
            <w:pPr>
              <w:rPr>
                <w:rFonts w:ascii="Verdana" w:hAnsi="Verdana"/>
                <w:sz w:val="20"/>
                <w:szCs w:val="20"/>
              </w:rPr>
            </w:pPr>
            <w:r w:rsidRPr="006B3232">
              <w:rPr>
                <w:rFonts w:ascii="Verdana" w:hAnsi="Verdana"/>
                <w:sz w:val="20"/>
                <w:szCs w:val="20"/>
              </w:rPr>
              <w:t> </w:t>
            </w:r>
          </w:p>
        </w:tc>
        <w:tc>
          <w:tcPr>
            <w:tcW w:w="11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B3232" w:rsidRPr="006B3232" w:rsidRDefault="006B3232" w:rsidP="006B3232">
            <w:pPr>
              <w:jc w:val="right"/>
              <w:rPr>
                <w:rFonts w:ascii="Verdana" w:hAnsi="Verdana"/>
                <w:sz w:val="20"/>
                <w:szCs w:val="20"/>
              </w:rPr>
            </w:pPr>
            <w:r w:rsidRPr="006B3232">
              <w:rPr>
                <w:rFonts w:ascii="Verdana" w:hAnsi="Verdana"/>
                <w:sz w:val="20"/>
                <w:szCs w:val="20"/>
              </w:rPr>
              <w:t>280</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B3232" w:rsidRPr="006B3232" w:rsidRDefault="006B3232" w:rsidP="006B3232">
            <w:pPr>
              <w:rPr>
                <w:rFonts w:ascii="Verdana" w:hAnsi="Verdana"/>
                <w:sz w:val="20"/>
                <w:szCs w:val="20"/>
              </w:rPr>
            </w:pPr>
            <w:r w:rsidRPr="006B3232">
              <w:rPr>
                <w:rFonts w:ascii="Verdana" w:hAnsi="Verdana"/>
                <w:sz w:val="20"/>
                <w:szCs w:val="20"/>
              </w:rPr>
              <w:t> </w:t>
            </w:r>
          </w:p>
        </w:tc>
        <w:tc>
          <w:tcPr>
            <w:tcW w:w="16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B3232" w:rsidRPr="006B3232" w:rsidRDefault="006B3232" w:rsidP="006B3232">
            <w:pPr>
              <w:jc w:val="right"/>
              <w:rPr>
                <w:rFonts w:ascii="Verdana" w:hAnsi="Verdana"/>
                <w:sz w:val="20"/>
                <w:szCs w:val="20"/>
              </w:rPr>
            </w:pPr>
            <w:r w:rsidRPr="006B3232">
              <w:rPr>
                <w:rFonts w:ascii="Verdana" w:hAnsi="Verdana"/>
                <w:sz w:val="20"/>
                <w:szCs w:val="20"/>
              </w:rPr>
              <w:t>280</w:t>
            </w:r>
          </w:p>
        </w:tc>
      </w:tr>
      <w:tr w:rsidR="006B3232" w:rsidRPr="006B3232">
        <w:trPr>
          <w:trHeight w:val="26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B3232" w:rsidRPr="006B3232" w:rsidRDefault="006B3232" w:rsidP="006B3232">
            <w:pPr>
              <w:rPr>
                <w:rFonts w:ascii="Verdana" w:hAnsi="Verdana"/>
                <w:sz w:val="20"/>
                <w:szCs w:val="20"/>
              </w:rPr>
            </w:pPr>
            <w:r w:rsidRPr="006B3232">
              <w:rPr>
                <w:rFonts w:ascii="Verdana" w:hAnsi="Verdana"/>
                <w:sz w:val="20"/>
                <w:szCs w:val="20"/>
              </w:rPr>
              <w:t> </w:t>
            </w:r>
          </w:p>
        </w:tc>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B3232" w:rsidRPr="006B3232" w:rsidRDefault="006B3232" w:rsidP="006B3232">
            <w:pPr>
              <w:rPr>
                <w:rFonts w:ascii="Verdana" w:hAnsi="Verdana"/>
                <w:sz w:val="20"/>
                <w:szCs w:val="20"/>
              </w:rPr>
            </w:pPr>
            <w:r w:rsidRPr="006B3232">
              <w:rPr>
                <w:rFonts w:ascii="Verdana" w:hAnsi="Verdana"/>
                <w:sz w:val="20"/>
                <w:szCs w:val="20"/>
              </w:rPr>
              <w:t>Contingency</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B3232" w:rsidRPr="006B3232" w:rsidRDefault="006B3232" w:rsidP="006B3232">
            <w:pPr>
              <w:rPr>
                <w:rFonts w:ascii="Verdana" w:hAnsi="Verdana"/>
                <w:sz w:val="20"/>
                <w:szCs w:val="20"/>
              </w:rPr>
            </w:pPr>
            <w:r w:rsidRPr="006B3232">
              <w:rPr>
                <w:rFonts w:ascii="Verdana" w:hAnsi="Verdana"/>
                <w:sz w:val="20"/>
                <w:szCs w:val="20"/>
              </w:rPr>
              <w:t> </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B3232" w:rsidRPr="006B3232" w:rsidRDefault="006B3232" w:rsidP="006B3232">
            <w:pPr>
              <w:rPr>
                <w:rFonts w:ascii="Verdana" w:hAnsi="Verdana"/>
                <w:sz w:val="20"/>
                <w:szCs w:val="20"/>
              </w:rPr>
            </w:pPr>
            <w:r w:rsidRPr="006B3232">
              <w:rPr>
                <w:rFonts w:ascii="Verdana" w:hAnsi="Verdana"/>
                <w:sz w:val="20"/>
                <w:szCs w:val="20"/>
              </w:rPr>
              <w:t> </w:t>
            </w:r>
          </w:p>
        </w:tc>
        <w:tc>
          <w:tcPr>
            <w:tcW w:w="11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B3232" w:rsidRPr="006B3232" w:rsidRDefault="006B3232" w:rsidP="006B3232">
            <w:pPr>
              <w:rPr>
                <w:rFonts w:ascii="Verdana" w:hAnsi="Verdana"/>
                <w:sz w:val="20"/>
                <w:szCs w:val="20"/>
              </w:rPr>
            </w:pPr>
            <w:r w:rsidRPr="006B3232">
              <w:rPr>
                <w:rFonts w:ascii="Verdana" w:hAnsi="Verdana"/>
                <w:sz w:val="20"/>
                <w:szCs w:val="20"/>
              </w:rPr>
              <w:t> </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B3232" w:rsidRPr="006B3232" w:rsidRDefault="006B3232" w:rsidP="006B3232">
            <w:pPr>
              <w:rPr>
                <w:rFonts w:ascii="Verdana" w:hAnsi="Verdana"/>
                <w:sz w:val="20"/>
                <w:szCs w:val="20"/>
              </w:rPr>
            </w:pPr>
            <w:r w:rsidRPr="006B3232">
              <w:rPr>
                <w:rFonts w:ascii="Verdana" w:hAnsi="Verdana"/>
                <w:sz w:val="20"/>
                <w:szCs w:val="20"/>
              </w:rPr>
              <w:t> </w:t>
            </w:r>
          </w:p>
        </w:tc>
        <w:tc>
          <w:tcPr>
            <w:tcW w:w="16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B3232" w:rsidRPr="006B3232" w:rsidRDefault="006B3232" w:rsidP="006B3232">
            <w:pPr>
              <w:rPr>
                <w:rFonts w:ascii="Verdana" w:hAnsi="Verdana"/>
                <w:sz w:val="20"/>
                <w:szCs w:val="20"/>
              </w:rPr>
            </w:pPr>
            <w:r w:rsidRPr="006B3232">
              <w:rPr>
                <w:rFonts w:ascii="Verdana" w:hAnsi="Verdana"/>
                <w:sz w:val="20"/>
                <w:szCs w:val="20"/>
              </w:rPr>
              <w:t> </w:t>
            </w:r>
          </w:p>
        </w:tc>
      </w:tr>
      <w:tr w:rsidR="006B3232" w:rsidRPr="006B3232">
        <w:trPr>
          <w:trHeight w:val="26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B3232" w:rsidRPr="006B3232" w:rsidRDefault="006B3232" w:rsidP="006B3232">
            <w:pPr>
              <w:rPr>
                <w:rFonts w:ascii="Verdana" w:hAnsi="Verdana"/>
                <w:sz w:val="20"/>
                <w:szCs w:val="20"/>
              </w:rPr>
            </w:pPr>
            <w:r w:rsidRPr="006B3232">
              <w:rPr>
                <w:rFonts w:ascii="Verdana" w:hAnsi="Verdana"/>
                <w:sz w:val="20"/>
                <w:szCs w:val="20"/>
              </w:rPr>
              <w:t> </w:t>
            </w:r>
          </w:p>
        </w:tc>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B3232" w:rsidRPr="006B3232" w:rsidRDefault="006B3232" w:rsidP="006B3232">
            <w:pPr>
              <w:rPr>
                <w:rFonts w:ascii="Verdana" w:hAnsi="Verdana"/>
                <w:sz w:val="20"/>
                <w:szCs w:val="20"/>
              </w:rPr>
            </w:pPr>
            <w:r w:rsidRPr="006B3232">
              <w:rPr>
                <w:rFonts w:ascii="Verdana" w:hAnsi="Verdana"/>
                <w:sz w:val="20"/>
                <w:szCs w:val="20"/>
              </w:rPr>
              <w:t>Total</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B3232" w:rsidRPr="006B3232" w:rsidRDefault="006B3232" w:rsidP="006B3232">
            <w:pPr>
              <w:jc w:val="right"/>
              <w:rPr>
                <w:rFonts w:ascii="Verdana" w:hAnsi="Verdana"/>
                <w:sz w:val="20"/>
                <w:szCs w:val="20"/>
              </w:rPr>
            </w:pPr>
            <w:r w:rsidRPr="006B3232">
              <w:rPr>
                <w:rFonts w:ascii="Verdana" w:hAnsi="Verdana"/>
                <w:sz w:val="20"/>
                <w:szCs w:val="20"/>
              </w:rPr>
              <w:t>0</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B3232" w:rsidRPr="006B3232" w:rsidRDefault="006B3232" w:rsidP="006B3232">
            <w:pPr>
              <w:jc w:val="right"/>
              <w:rPr>
                <w:rFonts w:ascii="Verdana" w:hAnsi="Verdana"/>
                <w:sz w:val="20"/>
                <w:szCs w:val="20"/>
              </w:rPr>
            </w:pPr>
            <w:r w:rsidRPr="006B3232">
              <w:rPr>
                <w:rFonts w:ascii="Verdana" w:hAnsi="Verdana"/>
                <w:sz w:val="20"/>
                <w:szCs w:val="20"/>
              </w:rPr>
              <w:t>0</w:t>
            </w:r>
          </w:p>
        </w:tc>
        <w:tc>
          <w:tcPr>
            <w:tcW w:w="11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B3232" w:rsidRPr="006B3232" w:rsidRDefault="006B3232" w:rsidP="006B3232">
            <w:pPr>
              <w:jc w:val="right"/>
              <w:rPr>
                <w:rFonts w:ascii="Verdana" w:hAnsi="Verdana"/>
                <w:sz w:val="20"/>
                <w:szCs w:val="20"/>
              </w:rPr>
            </w:pPr>
            <w:r w:rsidRPr="006B3232">
              <w:rPr>
                <w:rFonts w:ascii="Verdana" w:hAnsi="Verdana"/>
                <w:sz w:val="20"/>
                <w:szCs w:val="20"/>
              </w:rPr>
              <w:t>0</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B3232" w:rsidRPr="006B3232" w:rsidRDefault="006B3232" w:rsidP="006B3232">
            <w:pPr>
              <w:jc w:val="right"/>
              <w:rPr>
                <w:rFonts w:ascii="Verdana" w:hAnsi="Verdana"/>
                <w:sz w:val="20"/>
                <w:szCs w:val="20"/>
              </w:rPr>
            </w:pPr>
            <w:r w:rsidRPr="006B3232">
              <w:rPr>
                <w:rFonts w:ascii="Verdana" w:hAnsi="Verdana"/>
                <w:sz w:val="20"/>
                <w:szCs w:val="20"/>
              </w:rPr>
              <w:t>0</w:t>
            </w:r>
          </w:p>
        </w:tc>
        <w:tc>
          <w:tcPr>
            <w:tcW w:w="16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B3232" w:rsidRPr="006B3232" w:rsidRDefault="006B3232" w:rsidP="006B3232">
            <w:pPr>
              <w:rPr>
                <w:rFonts w:ascii="Verdana" w:hAnsi="Verdana"/>
                <w:sz w:val="20"/>
                <w:szCs w:val="20"/>
              </w:rPr>
            </w:pPr>
            <w:r w:rsidRPr="006B3232">
              <w:rPr>
                <w:rFonts w:ascii="Verdana" w:hAnsi="Verdana"/>
                <w:sz w:val="20"/>
                <w:szCs w:val="20"/>
              </w:rPr>
              <w:t> </w:t>
            </w:r>
          </w:p>
        </w:tc>
      </w:tr>
    </w:tbl>
    <w:p w:rsidR="00CB0661" w:rsidRPr="006B3232" w:rsidRDefault="00CB0661" w:rsidP="00CB0661">
      <w:pPr>
        <w:rPr>
          <w:rFonts w:ascii="Verdana" w:hAnsi="Verdana"/>
          <w:sz w:val="20"/>
          <w:szCs w:val="20"/>
        </w:rPr>
      </w:pPr>
    </w:p>
    <w:p w:rsidR="00CA55AE" w:rsidRPr="00005C23" w:rsidRDefault="00CA55AE" w:rsidP="00CB0661">
      <w:pPr>
        <w:rPr>
          <w:sz w:val="28"/>
        </w:rPr>
      </w:pPr>
    </w:p>
    <w:sectPr w:rsidR="00CA55AE" w:rsidRPr="00005C23" w:rsidSect="001560D5">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Lucida Grande">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C24BDE"/>
    <w:multiLevelType w:val="hybridMultilevel"/>
    <w:tmpl w:val="7EA271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88D04D2"/>
    <w:multiLevelType w:val="hybridMultilevel"/>
    <w:tmpl w:val="240C2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BF90CCC"/>
    <w:multiLevelType w:val="hybridMultilevel"/>
    <w:tmpl w:val="4EE05F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1560D5"/>
    <w:rsid w:val="00005C23"/>
    <w:rsid w:val="000553B3"/>
    <w:rsid w:val="000E093D"/>
    <w:rsid w:val="001560D5"/>
    <w:rsid w:val="001B545E"/>
    <w:rsid w:val="001E2C3C"/>
    <w:rsid w:val="002739DE"/>
    <w:rsid w:val="002D6896"/>
    <w:rsid w:val="00316D06"/>
    <w:rsid w:val="0041606F"/>
    <w:rsid w:val="004D7676"/>
    <w:rsid w:val="005F4818"/>
    <w:rsid w:val="00656943"/>
    <w:rsid w:val="006B3232"/>
    <w:rsid w:val="00745246"/>
    <w:rsid w:val="00865FAC"/>
    <w:rsid w:val="008A4F9F"/>
    <w:rsid w:val="00A1557D"/>
    <w:rsid w:val="00A5208B"/>
    <w:rsid w:val="00AD3853"/>
    <w:rsid w:val="00AF7F83"/>
    <w:rsid w:val="00B3276F"/>
    <w:rsid w:val="00B444DB"/>
    <w:rsid w:val="00C521E8"/>
    <w:rsid w:val="00C64B2B"/>
    <w:rsid w:val="00CA55AE"/>
    <w:rsid w:val="00CB0661"/>
    <w:rsid w:val="00D60E46"/>
    <w:rsid w:val="00D95E37"/>
  </w:rsids>
  <m:mathPr>
    <m:mathFont m:val="ZWAdobeF"/>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lsdException w:name="annotation text" w:uiPriority="99"/>
    <w:lsdException w:name="annotation reference" w:uiPriority="99"/>
    <w:lsdException w:name="List Paragraph" w:uiPriority="34" w:qFormat="1"/>
  </w:latentStyles>
  <w:style w:type="paragraph" w:default="1" w:styleId="Normal">
    <w:name w:val="Normal"/>
    <w:qFormat/>
    <w:rsid w:val="00E615C3"/>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alloonText">
    <w:name w:val="Balloon Text"/>
    <w:basedOn w:val="Normal"/>
    <w:link w:val="BalloonTextChar"/>
    <w:uiPriority w:val="99"/>
    <w:semiHidden/>
    <w:unhideWhenUsed/>
    <w:rsid w:val="00D56573"/>
    <w:rPr>
      <w:rFonts w:ascii="Lucida Grande" w:hAnsi="Lucida Grande"/>
      <w:sz w:val="18"/>
      <w:szCs w:val="18"/>
    </w:rPr>
  </w:style>
  <w:style w:type="character" w:customStyle="1" w:styleId="BalloonTextChar">
    <w:name w:val="Balloon Text Char"/>
    <w:basedOn w:val="DefaultParagraphFont"/>
    <w:link w:val="BalloonText"/>
    <w:uiPriority w:val="99"/>
    <w:semiHidden/>
    <w:rsid w:val="00D56573"/>
    <w:rPr>
      <w:rFonts w:ascii="Lucida Grande" w:hAnsi="Lucida Grande"/>
      <w:sz w:val="18"/>
      <w:szCs w:val="18"/>
    </w:rPr>
  </w:style>
  <w:style w:type="table" w:styleId="TableGrid">
    <w:name w:val="Table Grid"/>
    <w:basedOn w:val="TableNormal"/>
    <w:uiPriority w:val="59"/>
    <w:rsid w:val="00CA55AE"/>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005C23"/>
    <w:pPr>
      <w:widowControl w:val="0"/>
      <w:autoSpaceDE w:val="0"/>
      <w:autoSpaceDN w:val="0"/>
      <w:adjustRightInd w:val="0"/>
    </w:pPr>
    <w:rPr>
      <w:rFonts w:ascii="Times New Roman" w:hAnsi="Times New Roman" w:cs="Times New Roman"/>
      <w:color w:val="000000"/>
    </w:rPr>
  </w:style>
  <w:style w:type="paragraph" w:styleId="ListParagraph">
    <w:name w:val="List Paragraph"/>
    <w:basedOn w:val="Normal"/>
    <w:uiPriority w:val="34"/>
    <w:qFormat/>
    <w:rsid w:val="00A1557D"/>
    <w:pPr>
      <w:ind w:left="720"/>
      <w:contextualSpacing/>
    </w:pPr>
  </w:style>
  <w:style w:type="character" w:styleId="CommentReference">
    <w:name w:val="annotation reference"/>
    <w:basedOn w:val="DefaultParagraphFont"/>
    <w:uiPriority w:val="99"/>
    <w:unhideWhenUsed/>
    <w:rsid w:val="00A1557D"/>
    <w:rPr>
      <w:sz w:val="18"/>
      <w:szCs w:val="18"/>
    </w:rPr>
  </w:style>
  <w:style w:type="paragraph" w:styleId="CommentText">
    <w:name w:val="annotation text"/>
    <w:basedOn w:val="Normal"/>
    <w:link w:val="CommentTextChar"/>
    <w:uiPriority w:val="99"/>
    <w:unhideWhenUsed/>
    <w:rsid w:val="00A1557D"/>
  </w:style>
  <w:style w:type="character" w:customStyle="1" w:styleId="CommentTextChar">
    <w:name w:val="Comment Text Char"/>
    <w:basedOn w:val="DefaultParagraphFont"/>
    <w:link w:val="CommentText"/>
    <w:uiPriority w:val="99"/>
    <w:rsid w:val="00A1557D"/>
  </w:style>
</w:styles>
</file>

<file path=word/webSettings.xml><?xml version="1.0" encoding="utf-8"?>
<w:webSettings xmlns:r="http://schemas.openxmlformats.org/officeDocument/2006/relationships" xmlns:w="http://schemas.openxmlformats.org/wordprocessingml/2006/main">
  <w:divs>
    <w:div w:id="379746607">
      <w:bodyDiv w:val="1"/>
      <w:marLeft w:val="0"/>
      <w:marRight w:val="0"/>
      <w:marTop w:val="0"/>
      <w:marBottom w:val="0"/>
      <w:divBdr>
        <w:top w:val="none" w:sz="0" w:space="0" w:color="auto"/>
        <w:left w:val="none" w:sz="0" w:space="0" w:color="auto"/>
        <w:bottom w:val="none" w:sz="0" w:space="0" w:color="auto"/>
        <w:right w:val="none" w:sz="0" w:space="0" w:color="auto"/>
      </w:divBdr>
    </w:div>
    <w:div w:id="1471091254">
      <w:bodyDiv w:val="1"/>
      <w:marLeft w:val="0"/>
      <w:marRight w:val="0"/>
      <w:marTop w:val="0"/>
      <w:marBottom w:val="0"/>
      <w:divBdr>
        <w:top w:val="none" w:sz="0" w:space="0" w:color="auto"/>
        <w:left w:val="none" w:sz="0" w:space="0" w:color="auto"/>
        <w:bottom w:val="none" w:sz="0" w:space="0" w:color="auto"/>
        <w:right w:val="none" w:sz="0" w:space="0" w:color="auto"/>
      </w:divBdr>
    </w:div>
    <w:div w:id="152705998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6" Type="http://schemas.openxmlformats.org/officeDocument/2006/relationships/theme" Target="theme/theme1.xml"/><Relationship Id="rId4" Type="http://schemas.openxmlformats.org/officeDocument/2006/relationships/webSettings" Target="webSettings.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105</TotalTime>
  <Pages>7</Pages>
  <Words>1805</Words>
  <Characters>10294</Characters>
  <Application>Microsoft Macintosh Word</Application>
  <DocSecurity>0</DocSecurity>
  <Lines>85</Lines>
  <Paragraphs>20</Paragraphs>
  <ScaleCrop>false</ScaleCrop>
  <Company>BNL</Company>
  <LinksUpToDate>false</LinksUpToDate>
  <CharactersWithSpaces>12641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flemming videbaek</dc:creator>
  <cp:keywords/>
  <cp:lastModifiedBy>flemming videbaek</cp:lastModifiedBy>
  <cp:revision>8</cp:revision>
  <cp:lastPrinted>2010-09-20T15:26:00Z</cp:lastPrinted>
  <dcterms:created xsi:type="dcterms:W3CDTF">2010-08-24T14:00:00Z</dcterms:created>
  <dcterms:modified xsi:type="dcterms:W3CDTF">2010-09-20T17:53:00Z</dcterms:modified>
</cp:coreProperties>
</file>