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word/header3.xml" ContentType="application/vnd.openxmlformats-officedocument.wordprocessingml.head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Default Extension="png" ContentType="image/png"/>
  <Override PartName="/word/header1.xml" ContentType="application/vnd.openxmlformats-officedocument.wordprocessingml.header+xml"/>
  <Override PartName="/word/footer3.xml" ContentType="application/vnd.openxmlformats-officedocument.wordprocessingml.footer+xml"/>
  <Default Extension="bin" ContentType="application/vnd.openxmlformats-officedocument.wordprocessingml.printerSettings"/>
  <Override PartName="/word/styles.xml" ContentType="application/vnd.openxmlformats-officedocument.wordprocessingml.styles+xml"/>
  <Override PartName="/word/theme/theme1.xml" ContentType="application/vnd.openxmlformats-officedocument.theme+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0D5" w:rsidRDefault="001560D5" w:rsidP="00D90AB5"/>
    <w:p w:rsidR="001560D5" w:rsidRDefault="001560D5" w:rsidP="001560D5">
      <w:pPr>
        <w:jc w:val="center"/>
      </w:pPr>
    </w:p>
    <w:p w:rsidR="001560D5" w:rsidRDefault="001560D5" w:rsidP="001560D5">
      <w:pPr>
        <w:jc w:val="center"/>
      </w:pPr>
    </w:p>
    <w:p w:rsidR="001560D5" w:rsidRDefault="001560D5" w:rsidP="001560D5">
      <w:pPr>
        <w:jc w:val="center"/>
      </w:pPr>
    </w:p>
    <w:p w:rsidR="001560D5" w:rsidRPr="00CA55AE" w:rsidRDefault="001560D5" w:rsidP="001560D5">
      <w:pPr>
        <w:jc w:val="center"/>
        <w:rPr>
          <w:b/>
          <w:sz w:val="44"/>
        </w:rPr>
      </w:pPr>
      <w:r w:rsidRPr="00CA55AE">
        <w:rPr>
          <w:b/>
          <w:sz w:val="44"/>
        </w:rPr>
        <w:t>HFT</w:t>
      </w:r>
    </w:p>
    <w:p w:rsidR="001560D5" w:rsidRPr="00CA55AE" w:rsidRDefault="001560D5" w:rsidP="001560D5">
      <w:pPr>
        <w:jc w:val="center"/>
        <w:rPr>
          <w:b/>
          <w:sz w:val="44"/>
        </w:rPr>
      </w:pPr>
      <w:r w:rsidRPr="00CA55AE">
        <w:rPr>
          <w:b/>
          <w:sz w:val="44"/>
        </w:rPr>
        <w:t>Heavy Flavor Tracker</w:t>
      </w:r>
    </w:p>
    <w:p w:rsidR="001560D5" w:rsidRDefault="001560D5" w:rsidP="00D90AB5"/>
    <w:p w:rsidR="001560D5" w:rsidRDefault="001560D5" w:rsidP="001560D5">
      <w:pPr>
        <w:jc w:val="center"/>
      </w:pPr>
    </w:p>
    <w:p w:rsidR="001560D5" w:rsidRDefault="001560D5" w:rsidP="001560D5">
      <w:pPr>
        <w:jc w:val="center"/>
      </w:pPr>
    </w:p>
    <w:p w:rsidR="001560D5" w:rsidRDefault="00D90AB5" w:rsidP="001560D5">
      <w:pPr>
        <w:jc w:val="center"/>
      </w:pPr>
      <w:r w:rsidRPr="00D90AB5">
        <w:rPr>
          <w:noProof/>
        </w:rPr>
        <w:drawing>
          <wp:inline distT="0" distB="0" distL="0" distR="0">
            <wp:extent cx="4089400" cy="2387600"/>
            <wp:effectExtent l="25400" t="0" r="0" b="0"/>
            <wp:docPr id="1"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92253" cy="5791200"/>
                      <a:chOff x="144094" y="685800"/>
                      <a:chExt cx="8892253" cy="5791200"/>
                    </a:xfrm>
                  </a:grpSpPr>
                  <a:grpSp>
                    <a:nvGrpSpPr>
                      <a:cNvPr id="4" name="Group 60"/>
                      <a:cNvGrpSpPr/>
                    </a:nvGrpSpPr>
                    <a:grpSpPr>
                      <a:xfrm>
                        <a:off x="144094" y="685800"/>
                        <a:ext cx="8892253" cy="5791200"/>
                        <a:chOff x="144094" y="381000"/>
                        <a:chExt cx="8892253" cy="5791200"/>
                      </a:xfrm>
                    </a:grpSpPr>
                    <a:grpSp>
                      <a:nvGrpSpPr>
                        <a:cNvPr id="3" name="Group 41"/>
                        <a:cNvGrpSpPr/>
                      </a:nvGrpSpPr>
                      <a:grpSpPr>
                        <a:xfrm>
                          <a:off x="144094" y="381000"/>
                          <a:ext cx="8892253" cy="5791200"/>
                          <a:chOff x="144094" y="1066800"/>
                          <a:chExt cx="8892253" cy="5791200"/>
                        </a:xfrm>
                      </a:grpSpPr>
                      <a:grpSp>
                        <a:nvGrpSpPr>
                          <a:cNvPr id="14" name="Group 22"/>
                          <a:cNvGrpSpPr/>
                        </a:nvGrpSpPr>
                        <a:grpSpPr>
                          <a:xfrm>
                            <a:off x="152400" y="1066800"/>
                            <a:ext cx="8883947" cy="5791200"/>
                            <a:chOff x="152400" y="914400"/>
                            <a:chExt cx="8883947" cy="5791200"/>
                          </a:xfrm>
                        </a:grpSpPr>
                        <a:pic>
                          <a:nvPicPr>
                            <a:cNvPr id="22" name="Picture 2" descr="C:\Users\ECAnderssen_local\Desktop\Figures Integration\STAR HALL 3D_Zoom_1.jpg"/>
                            <a:cNvPicPr>
                              <a:picLocks noChangeAspect="1" noChangeArrowheads="1"/>
                            </a:cNvPicPr>
                          </a:nvPicPr>
                          <a:blipFill>
                            <a:blip r:embed="rId4" cstate="screen">
                              <a:lum bright="10000" contrast="10000"/>
                            </a:blip>
                            <a:srcRect/>
                            <a:stretch>
                              <a:fillRect/>
                            </a:stretch>
                          </a:blipFill>
                          <a:spPr bwMode="auto">
                            <a:xfrm>
                              <a:off x="152400" y="685800"/>
                              <a:ext cx="8883947" cy="5791200"/>
                            </a:xfrm>
                            <a:prstGeom prst="rect">
                              <a:avLst/>
                            </a:prstGeom>
                            <a:noFill/>
                          </a:spPr>
                        </a:pic>
                        <a:sp>
                          <a:nvSpPr>
                            <a:cNvPr id="23" name="Oval 22"/>
                            <a:cNvSpPr/>
                          </a:nvSpPr>
                          <a:spPr>
                            <a:xfrm>
                              <a:off x="4953000" y="990600"/>
                              <a:ext cx="4038600" cy="2667000"/>
                            </a:xfrm>
                            <a:prstGeom prst="ellipse">
                              <a:avLst/>
                            </a:prstGeom>
                            <a:blipFill>
                              <a:blip r:embed="rId5" cstate="screen"/>
                              <a:stretch>
                                <a:fillRect/>
                              </a:stretch>
                            </a:blipFill>
                            <a:ln>
                              <a:solidFill>
                                <a:srgbClr val="FF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sz="1800" dirty="0">
                                  <a:ln>
                                    <a:solidFill>
                                      <a:srgbClr val="FF0000"/>
                                    </a:solidFill>
                                  </a:ln>
                                  <a:no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Oval 23"/>
                            <a:cNvSpPr/>
                          </a:nvSpPr>
                          <a:spPr>
                            <a:xfrm>
                              <a:off x="3581400" y="3124200"/>
                              <a:ext cx="1676400" cy="1066800"/>
                            </a:xfrm>
                            <a:prstGeom prst="ellipse">
                              <a:avLst/>
                            </a:prstGeom>
                            <a:noFill/>
                            <a:ln w="12700">
                              <a:solidFill>
                                <a:srgbClr val="FF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sz="1800" dirty="0">
                                  <a:ln>
                                    <a:solidFill>
                                      <a:srgbClr val="FF0000"/>
                                    </a:solidFill>
                                  </a:ln>
                                  <a:no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5" name="Straight Arrow Connector 24"/>
                            <a:cNvCxnSpPr/>
                          </a:nvCxnSpPr>
                          <a:spPr>
                            <a:xfrm rot="5400000">
                              <a:off x="3657600" y="1905000"/>
                              <a:ext cx="1524000" cy="1371600"/>
                            </a:xfrm>
                            <a:prstGeom prst="straightConnector1">
                              <a:avLst/>
                            </a:prstGeom>
                            <a:ln w="12700">
                              <a:solidFill>
                                <a:srgbClr val="FF0000"/>
                              </a:solidFill>
                              <a:headEnd type="none" w="med" len="med"/>
                              <a:tailEnd type="none" w="med" len="med"/>
                            </a:ln>
                          </a:spPr>
                          <a:style>
                            <a:lnRef idx="1">
                              <a:schemeClr val="accent1"/>
                            </a:lnRef>
                            <a:fillRef idx="0">
                              <a:schemeClr val="accent1"/>
                            </a:fillRef>
                            <a:effectRef idx="0">
                              <a:schemeClr val="accent1"/>
                            </a:effectRef>
                            <a:fontRef idx="minor">
                              <a:schemeClr val="tx1"/>
                            </a:fontRef>
                          </a:style>
                        </a:cxnSp>
                        <a:cxnSp>
                          <a:nvCxnSpPr>
                            <a:cNvPr id="26" name="Straight Arrow Connector 25"/>
                            <a:cNvCxnSpPr/>
                          </a:nvCxnSpPr>
                          <a:spPr>
                            <a:xfrm rot="10800000" flipV="1">
                              <a:off x="4572000" y="3581400"/>
                              <a:ext cx="3124200" cy="609600"/>
                            </a:xfrm>
                            <a:prstGeom prst="straightConnector1">
                              <a:avLst/>
                            </a:prstGeom>
                            <a:ln w="12700">
                              <a:solidFill>
                                <a:srgbClr val="FF0000"/>
                              </a:solidFill>
                              <a:headEnd type="none" w="med" len="med"/>
                              <a:tailEnd type="none" w="med" len="med"/>
                            </a:ln>
                          </a:spPr>
                          <a:style>
                            <a:lnRef idx="1">
                              <a:schemeClr val="accent1"/>
                            </a:lnRef>
                            <a:fillRef idx="0">
                              <a:schemeClr val="accent1"/>
                            </a:fillRef>
                            <a:effectRef idx="0">
                              <a:schemeClr val="accent1"/>
                            </a:effectRef>
                            <a:fontRef idx="minor">
                              <a:schemeClr val="tx1"/>
                            </a:fontRef>
                          </a:style>
                        </a:cxnSp>
                      </a:grpSp>
                      <a:sp>
                        <a:nvSpPr>
                          <a:cNvPr id="15" name="Rectangle 14"/>
                          <a:cNvSpPr/>
                        </a:nvSpPr>
                        <a:spPr>
                          <a:xfrm>
                            <a:off x="4419600" y="4953000"/>
                            <a:ext cx="1143000" cy="533400"/>
                          </a:xfrm>
                          <a:prstGeom prst="rect">
                            <a:avLst/>
                          </a:prstGeom>
                          <a:solidFill>
                            <a:srgbClr val="FFFFFF">
                              <a:alpha val="50196"/>
                            </a:srgbClr>
                          </a:solidFill>
                          <a:ln>
                            <a:solidFill>
                              <a:schemeClr val="accent6"/>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800" dirty="0" smtClean="0"/>
                                <a:t>TPC Volume</a:t>
                              </a:r>
                              <a:endParaRPr lang="en-US" sz="18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rot="19935684">
                            <a:off x="144094" y="3989825"/>
                            <a:ext cx="1824767" cy="646331"/>
                          </a:xfrm>
                          <a:prstGeom prst="rect">
                            <a:avLst/>
                          </a:prstGeom>
                          <a:noFill/>
                        </a:spPr>
                        <a:txSp>
                          <a:txBody>
                            <a:bodyPr wrap="square" lIns="91440" tIns="45720" rIns="91440" bIns="45720">
                              <a:spAutoFit/>
                              <a:scene3d>
                                <a:camera prst="isometricOffAxis1Right"/>
                                <a:lightRig rig="threePt" dir="t"/>
                              </a:scene3d>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b="1" cap="none" spc="0" dirty="0" smtClean="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rPr>
                                <a:t>Magnet </a:t>
                              </a:r>
                            </a:p>
                            <a:p>
                              <a:pPr algn="ctr"/>
                              <a:r>
                                <a:rPr lang="en-US" sz="1800" b="1" dirty="0" smtClean="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rPr>
                                <a:t>Return Iron</a:t>
                              </a:r>
                              <a:endParaRPr lang="en-US" sz="1800" b="1" cap="none" spc="0" dirty="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a:txBody>
                          <a:useSpRect/>
                        </a:txSp>
                      </a:sp>
                      <a:sp>
                        <a:nvSpPr>
                          <a:cNvPr id="17" name="Rectangle 16"/>
                          <a:cNvSpPr/>
                        </a:nvSpPr>
                        <a:spPr>
                          <a:xfrm rot="1695205">
                            <a:off x="1725234" y="5743165"/>
                            <a:ext cx="2293751" cy="369332"/>
                          </a:xfrm>
                          <a:prstGeom prst="rect">
                            <a:avLst/>
                          </a:prstGeom>
                          <a:noFill/>
                        </a:spPr>
                        <a:txSp>
                          <a:txBody>
                            <a:bodyPr wrap="square" lIns="91440" tIns="45720" rIns="91440" bIns="45720">
                              <a:spAutoFit/>
                              <a:scene3d>
                                <a:camera prst="isometricOffAxis1Right"/>
                                <a:lightRig rig="threePt" dir="t"/>
                              </a:scene3d>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b="1" cap="none" spc="0" dirty="0" smtClean="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rPr>
                                <a:t>Solenoid</a:t>
                              </a:r>
                              <a:endParaRPr lang="en-US" sz="1800" b="1" cap="none" spc="0" dirty="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a:txBody>
                          <a:useSpRect/>
                        </a:txSp>
                      </a:sp>
                      <a:sp>
                        <a:nvSpPr>
                          <a:cNvPr id="18" name="TextBox 17"/>
                          <a:cNvSpPr txBox="1"/>
                        </a:nvSpPr>
                        <a:spPr>
                          <a:xfrm>
                            <a:off x="2731239" y="4230469"/>
                            <a:ext cx="1941557" cy="646331"/>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dirty="0" smtClean="0"/>
                                <a:t>OFC</a:t>
                              </a:r>
                            </a:p>
                            <a:p>
                              <a:pPr algn="ctr"/>
                              <a:r>
                                <a:rPr lang="en-US" sz="1800" dirty="0" smtClean="0"/>
                                <a:t>Outer Field Cage</a:t>
                              </a:r>
                            </a:p>
                          </a:txBody>
                          <a:useSpRect/>
                        </a:txSp>
                      </a:sp>
                      <a:cxnSp>
                        <a:nvCxnSpPr>
                          <a:cNvPr id="19" name="Straight Arrow Connector 18"/>
                          <a:cNvCxnSpPr>
                            <a:stCxn id="18" idx="2"/>
                          </a:cNvCxnSpPr>
                        </a:nvCxnSpPr>
                        <a:spPr>
                          <a:xfrm rot="16200000" flipH="1">
                            <a:off x="3513994" y="5064823"/>
                            <a:ext cx="496667" cy="12061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0" name="TextBox 19"/>
                          <a:cNvSpPr txBox="1"/>
                        </a:nvSpPr>
                        <a:spPr>
                          <a:xfrm>
                            <a:off x="2323283" y="1944469"/>
                            <a:ext cx="1890261" cy="646331"/>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dirty="0" smtClean="0"/>
                                <a:t>IFC</a:t>
                              </a:r>
                            </a:p>
                            <a:p>
                              <a:pPr algn="ctr"/>
                              <a:r>
                                <a:rPr lang="en-US" sz="1800" dirty="0" smtClean="0"/>
                                <a:t>Inner Field Cage</a:t>
                              </a:r>
                              <a:endParaRPr lang="en-US" sz="1800" dirty="0"/>
                            </a:p>
                          </a:txBody>
                          <a:useSpRect/>
                        </a:txSp>
                      </a:sp>
                      <a:cxnSp>
                        <a:nvCxnSpPr>
                          <a:cNvPr id="21" name="Straight Arrow Connector 20"/>
                          <a:cNvCxnSpPr>
                            <a:stCxn id="20" idx="2"/>
                          </a:cNvCxnSpPr>
                        </a:nvCxnSpPr>
                        <a:spPr>
                          <a:xfrm rot="16200000" flipH="1">
                            <a:off x="3120108" y="2739105"/>
                            <a:ext cx="304799" cy="818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sp>
                      <a:nvSpPr>
                        <a:cNvPr id="6" name="TextBox 5"/>
                        <a:cNvSpPr txBox="1"/>
                      </a:nvSpPr>
                      <a:spPr>
                        <a:xfrm>
                          <a:off x="8077200" y="1066800"/>
                          <a:ext cx="659155" cy="923330"/>
                        </a:xfrm>
                        <a:prstGeom prst="rect">
                          <a:avLst/>
                        </a:prstGeom>
                        <a:solidFill>
                          <a:srgbClr val="FFFFFF">
                            <a:alpha val="58824"/>
                          </a:srgbClr>
                        </a:solid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800" dirty="0" smtClean="0"/>
                              <a:t>SSD</a:t>
                            </a:r>
                          </a:p>
                          <a:p>
                            <a:r>
                              <a:rPr lang="en-US" sz="1800" dirty="0" smtClean="0"/>
                              <a:t>IST</a:t>
                            </a:r>
                          </a:p>
                          <a:p>
                            <a:r>
                              <a:rPr lang="en-US" sz="1800" dirty="0" smtClean="0"/>
                              <a:t>PXL</a:t>
                            </a:r>
                            <a:endParaRPr lang="en-US" sz="1800" dirty="0"/>
                          </a:p>
                        </a:txBody>
                        <a:useSpRect/>
                      </a:txSp>
                    </a:sp>
                    <a:cxnSp>
                      <a:nvCxnSpPr>
                        <a:cNvPr id="7" name="Straight Arrow Connector 6"/>
                        <a:cNvCxnSpPr/>
                      </a:nvCxnSpPr>
                      <a:spPr>
                        <a:xfrm rot="10800000" flipV="1">
                          <a:off x="7315200" y="1219200"/>
                          <a:ext cx="762000" cy="152400"/>
                        </a:xfrm>
                        <a:prstGeom prst="straightConnector1">
                          <a:avLst/>
                        </a:prstGeom>
                        <a:ln>
                          <a:solidFill>
                            <a:srgbClr val="FFFF00"/>
                          </a:solidFill>
                          <a:tailEnd type="oval"/>
                        </a:ln>
                      </a:spPr>
                      <a:style>
                        <a:lnRef idx="1">
                          <a:schemeClr val="accent1"/>
                        </a:lnRef>
                        <a:fillRef idx="0">
                          <a:schemeClr val="accent1"/>
                        </a:fillRef>
                        <a:effectRef idx="0">
                          <a:schemeClr val="accent1"/>
                        </a:effectRef>
                        <a:fontRef idx="minor">
                          <a:schemeClr val="tx1"/>
                        </a:fontRef>
                      </a:style>
                    </a:cxnSp>
                    <a:cxnSp>
                      <a:nvCxnSpPr>
                        <a:cNvPr id="8" name="Straight Arrow Connector 7"/>
                        <a:cNvCxnSpPr>
                          <a:stCxn id="6" idx="1"/>
                        </a:cNvCxnSpPr>
                      </a:nvCxnSpPr>
                      <a:spPr>
                        <a:xfrm rot="10800000" flipV="1">
                          <a:off x="7162800" y="1528464"/>
                          <a:ext cx="914400" cy="147933"/>
                        </a:xfrm>
                        <a:prstGeom prst="straightConnector1">
                          <a:avLst/>
                        </a:prstGeom>
                        <a:ln>
                          <a:solidFill>
                            <a:srgbClr val="FFFF00"/>
                          </a:solidFill>
                          <a:tailEnd type="oval"/>
                        </a:ln>
                      </a:spPr>
                      <a:style>
                        <a:lnRef idx="1">
                          <a:schemeClr val="accent1"/>
                        </a:lnRef>
                        <a:fillRef idx="0">
                          <a:schemeClr val="accent1"/>
                        </a:fillRef>
                        <a:effectRef idx="0">
                          <a:schemeClr val="accent1"/>
                        </a:effectRef>
                        <a:fontRef idx="minor">
                          <a:schemeClr val="tx1"/>
                        </a:fontRef>
                      </a:style>
                    </a:cxnSp>
                    <a:cxnSp>
                      <a:nvCxnSpPr>
                        <a:cNvPr id="9" name="Straight Arrow Connector 8"/>
                        <a:cNvCxnSpPr/>
                      </a:nvCxnSpPr>
                      <a:spPr>
                        <a:xfrm rot="10800000" flipV="1">
                          <a:off x="6934200" y="1828802"/>
                          <a:ext cx="1143000" cy="152398"/>
                        </a:xfrm>
                        <a:prstGeom prst="straightConnector1">
                          <a:avLst/>
                        </a:prstGeom>
                        <a:ln>
                          <a:solidFill>
                            <a:srgbClr val="FFFF00"/>
                          </a:solidFill>
                          <a:tailEnd type="oval"/>
                        </a:ln>
                      </a:spPr>
                      <a:style>
                        <a:lnRef idx="1">
                          <a:schemeClr val="accent1"/>
                        </a:lnRef>
                        <a:fillRef idx="0">
                          <a:schemeClr val="accent1"/>
                        </a:fillRef>
                        <a:effectRef idx="0">
                          <a:schemeClr val="accent1"/>
                        </a:effectRef>
                        <a:fontRef idx="minor">
                          <a:schemeClr val="tx1"/>
                        </a:fontRef>
                      </a:style>
                    </a:cxnSp>
                    <a:sp>
                      <a:nvSpPr>
                        <a:cNvPr id="10" name="Rectangle 9"/>
                        <a:cNvSpPr/>
                      </a:nvSpPr>
                      <a:spPr>
                        <a:xfrm rot="1282124">
                          <a:off x="1146512" y="5333048"/>
                          <a:ext cx="1005403" cy="461665"/>
                        </a:xfrm>
                        <a:prstGeom prst="rect">
                          <a:avLst/>
                        </a:prstGeom>
                        <a:noFill/>
                      </a:spPr>
                      <a:txSp>
                        <a:txBody>
                          <a:bodyPr wrap="none" lIns="91440" tIns="45720" rIns="91440" bIns="4572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b="1" cap="none" spc="0" dirty="0" smtClean="0">
                                <a:ln w="18000">
                                  <a:solidFill>
                                    <a:schemeClr val="accent2">
                                      <a:satMod val="140000"/>
                                    </a:schemeClr>
                                  </a:solidFill>
                                  <a:prstDash val="solid"/>
                                  <a:miter lim="800000"/>
                                </a:ln>
                                <a:noFill/>
                                <a:effectLst>
                                  <a:outerShdw blurRad="25500" dist="23000" dir="7020000" algn="tl">
                                    <a:srgbClr val="000000">
                                      <a:alpha val="50000"/>
                                    </a:srgbClr>
                                  </a:outerShdw>
                                </a:effectLst>
                              </a:rPr>
                              <a:t>EAST</a:t>
                            </a:r>
                            <a:endParaRPr lang="en-US" b="1" cap="none" spc="0" dirty="0">
                              <a:ln w="18000">
                                <a:solidFill>
                                  <a:schemeClr val="accent2">
                                    <a:satMod val="140000"/>
                                  </a:schemeClr>
                                </a:solidFill>
                                <a:prstDash val="solid"/>
                                <a:miter lim="800000"/>
                              </a:ln>
                              <a:noFill/>
                              <a:effectLst>
                                <a:outerShdw blurRad="25500" dist="23000" dir="7020000" algn="tl">
                                  <a:srgbClr val="000000">
                                    <a:alpha val="50000"/>
                                  </a:srgbClr>
                                </a:outerShdw>
                              </a:effectLst>
                            </a:endParaRPr>
                          </a:p>
                        </a:txBody>
                        <a:useSpRect/>
                      </a:txSp>
                    </a:sp>
                    <a:sp>
                      <a:nvSpPr>
                        <a:cNvPr id="11" name="Rectangle 10"/>
                        <a:cNvSpPr/>
                      </a:nvSpPr>
                      <a:spPr>
                        <a:xfrm>
                          <a:off x="7885437" y="5562600"/>
                          <a:ext cx="1072730" cy="461665"/>
                        </a:xfrm>
                        <a:prstGeom prst="rect">
                          <a:avLst/>
                        </a:prstGeom>
                        <a:noFill/>
                      </a:spPr>
                      <a:txSp>
                        <a:txBody>
                          <a:bodyPr wrap="none" lIns="91440" tIns="45720" rIns="91440" bIns="4572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b="1" cap="none" spc="0" dirty="0" smtClean="0">
                                <a:ln w="18000">
                                  <a:solidFill>
                                    <a:schemeClr val="accent2">
                                      <a:satMod val="140000"/>
                                    </a:schemeClr>
                                  </a:solidFill>
                                  <a:prstDash val="solid"/>
                                  <a:miter lim="800000"/>
                                </a:ln>
                                <a:noFill/>
                                <a:effectLst>
                                  <a:outerShdw blurRad="25500" dist="23000" dir="7020000" algn="tl">
                                    <a:srgbClr val="000000">
                                      <a:alpha val="50000"/>
                                    </a:srgbClr>
                                  </a:outerShdw>
                                </a:effectLst>
                              </a:rPr>
                              <a:t>WEST</a:t>
                            </a:r>
                            <a:endParaRPr lang="en-US" b="1" cap="none" spc="0" dirty="0">
                              <a:ln w="18000">
                                <a:solidFill>
                                  <a:schemeClr val="accent2">
                                    <a:satMod val="140000"/>
                                  </a:schemeClr>
                                </a:solidFill>
                                <a:prstDash val="solid"/>
                                <a:miter lim="800000"/>
                              </a:ln>
                              <a:noFill/>
                              <a:effectLst>
                                <a:outerShdw blurRad="25500" dist="23000" dir="7020000" algn="tl">
                                  <a:srgbClr val="000000">
                                    <a:alpha val="50000"/>
                                  </a:srgbClr>
                                </a:outerShdw>
                              </a:effectLst>
                            </a:endParaRPr>
                          </a:p>
                        </a:txBody>
                        <a:useSpRect/>
                      </a:txSp>
                    </a:sp>
                    <a:sp>
                      <a:nvSpPr>
                        <a:cNvPr id="12" name="TextBox 11"/>
                        <a:cNvSpPr txBox="1"/>
                      </a:nvSpPr>
                      <a:spPr>
                        <a:xfrm rot="1380863">
                          <a:off x="5020331" y="3623292"/>
                          <a:ext cx="663783" cy="293131"/>
                        </a:xfrm>
                        <a:prstGeom prst="ellipse">
                          <a:avLst/>
                        </a:prstGeom>
                        <a:solidFill>
                          <a:srgbClr val="FFFFFF">
                            <a:alpha val="43137"/>
                          </a:srgbClr>
                        </a:solidFill>
                      </a:spPr>
                      <a:txSp>
                        <a:txBody>
                          <a:bodyPr wrap="square" rtlCol="0">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800" dirty="0" smtClean="0">
                                <a:latin typeface="Arial" pitchFamily="34" charset="0"/>
                                <a:cs typeface="Arial" pitchFamily="34" charset="0"/>
                              </a:rPr>
                              <a:t>FGT</a:t>
                            </a:r>
                            <a:endParaRPr lang="en-US" sz="800" dirty="0">
                              <a:latin typeface="Arial" pitchFamily="34" charset="0"/>
                              <a:cs typeface="Arial" pitchFamily="34" charset="0"/>
                            </a:endParaRPr>
                          </a:p>
                        </a:txBody>
                        <a:useSpRect/>
                      </a:txSp>
                    </a:sp>
                    <a:sp>
                      <a:nvSpPr>
                        <a:cNvPr id="13" name="TextBox 12"/>
                        <a:cNvSpPr txBox="1"/>
                      </a:nvSpPr>
                      <a:spPr>
                        <a:xfrm>
                          <a:off x="6477000" y="533400"/>
                          <a:ext cx="1066800" cy="381000"/>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spPr>
                      <a:txSp>
                        <a:txBody>
                          <a:bodyPr wrap="square" rtlCol="0" anchor="ctr" anchorCtr="1">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dirty="0" smtClean="0"/>
                              <a:t>HFT</a:t>
                            </a:r>
                            <a:endParaRPr lang="en-US" sz="1800" dirty="0"/>
                          </a:p>
                        </a:txBody>
                        <a:useSpRect/>
                      </a:txSp>
                    </a:sp>
                  </a:grpSp>
                </lc:lockedCanvas>
              </a:graphicData>
            </a:graphic>
          </wp:inline>
        </w:drawing>
      </w:r>
    </w:p>
    <w:p w:rsidR="001560D5" w:rsidRDefault="001560D5" w:rsidP="001560D5">
      <w:pPr>
        <w:jc w:val="center"/>
      </w:pPr>
    </w:p>
    <w:p w:rsidR="001560D5" w:rsidRDefault="001560D5" w:rsidP="001560D5">
      <w:pPr>
        <w:jc w:val="center"/>
      </w:pPr>
    </w:p>
    <w:p w:rsidR="001560D5" w:rsidRDefault="001560D5" w:rsidP="001560D5">
      <w:pPr>
        <w:jc w:val="center"/>
      </w:pPr>
      <w:r>
        <w:t>MONTHLY REPORT</w:t>
      </w:r>
    </w:p>
    <w:p w:rsidR="001560D5" w:rsidRDefault="001560D5" w:rsidP="001560D5">
      <w:pPr>
        <w:jc w:val="center"/>
      </w:pPr>
    </w:p>
    <w:p w:rsidR="00CA55AE" w:rsidRDefault="00B07F60" w:rsidP="001560D5">
      <w:pPr>
        <w:jc w:val="center"/>
      </w:pPr>
      <w:proofErr w:type="gramStart"/>
      <w:r>
        <w:t xml:space="preserve">December </w:t>
      </w:r>
      <w:r w:rsidR="00316D06">
        <w:t xml:space="preserve"> </w:t>
      </w:r>
      <w:r>
        <w:t>1</w:t>
      </w:r>
      <w:proofErr w:type="gramEnd"/>
      <w:r>
        <w:t>-31</w:t>
      </w:r>
      <w:r w:rsidR="001560D5">
        <w:t>, 2010</w:t>
      </w:r>
    </w:p>
    <w:p w:rsidR="00CA55AE" w:rsidRDefault="00CA55AE" w:rsidP="001560D5">
      <w:pPr>
        <w:jc w:val="center"/>
      </w:pPr>
    </w:p>
    <w:p w:rsidR="00CA55AE" w:rsidRDefault="00CA55AE" w:rsidP="001560D5">
      <w:pPr>
        <w:jc w:val="center"/>
      </w:pPr>
    </w:p>
    <w:p w:rsidR="00CA55AE" w:rsidRDefault="00CA55AE" w:rsidP="00204A1B"/>
    <w:p w:rsidR="00CA55AE" w:rsidRDefault="00CA55AE" w:rsidP="001560D5">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428"/>
        <w:gridCol w:w="4428"/>
      </w:tblGrid>
      <w:tr w:rsidR="00CA55AE">
        <w:tc>
          <w:tcPr>
            <w:tcW w:w="4428" w:type="dxa"/>
          </w:tcPr>
          <w:p w:rsidR="00CA55AE" w:rsidRDefault="00CA55AE" w:rsidP="00CA55AE">
            <w:r>
              <w:t>Performing Organization</w:t>
            </w:r>
          </w:p>
        </w:tc>
        <w:tc>
          <w:tcPr>
            <w:tcW w:w="4428" w:type="dxa"/>
          </w:tcPr>
          <w:p w:rsidR="00CA55AE" w:rsidRDefault="00CA55AE" w:rsidP="00CA55AE">
            <w:r>
              <w:t>Brookhaven Science Associates</w:t>
            </w:r>
          </w:p>
        </w:tc>
      </w:tr>
      <w:tr w:rsidR="00CA55AE">
        <w:trPr>
          <w:trHeight w:val="134"/>
        </w:trPr>
        <w:tc>
          <w:tcPr>
            <w:tcW w:w="4428" w:type="dxa"/>
          </w:tcPr>
          <w:p w:rsidR="00CA55AE" w:rsidRDefault="00CA55AE" w:rsidP="00CA55AE">
            <w:r>
              <w:t>Location:</w:t>
            </w:r>
          </w:p>
        </w:tc>
        <w:tc>
          <w:tcPr>
            <w:tcW w:w="4428" w:type="dxa"/>
          </w:tcPr>
          <w:p w:rsidR="00CA55AE" w:rsidRDefault="00CA55AE" w:rsidP="00CA55AE">
            <w:r>
              <w:t>Brookhaven National Laboratory</w:t>
            </w:r>
          </w:p>
        </w:tc>
      </w:tr>
      <w:tr w:rsidR="00CA55AE">
        <w:trPr>
          <w:trHeight w:val="134"/>
        </w:trPr>
        <w:tc>
          <w:tcPr>
            <w:tcW w:w="4428" w:type="dxa"/>
          </w:tcPr>
          <w:p w:rsidR="00CA55AE" w:rsidRDefault="00CA55AE" w:rsidP="00CA55AE"/>
        </w:tc>
        <w:tc>
          <w:tcPr>
            <w:tcW w:w="4428" w:type="dxa"/>
          </w:tcPr>
          <w:p w:rsidR="00CA55AE" w:rsidRDefault="00CA55AE" w:rsidP="00CA55AE">
            <w:r>
              <w:t>Upton, New York 11973-5000</w:t>
            </w:r>
          </w:p>
        </w:tc>
      </w:tr>
      <w:tr w:rsidR="00CA55AE">
        <w:trPr>
          <w:trHeight w:val="134"/>
        </w:trPr>
        <w:tc>
          <w:tcPr>
            <w:tcW w:w="4428" w:type="dxa"/>
          </w:tcPr>
          <w:p w:rsidR="00CA55AE" w:rsidRDefault="00CA55AE" w:rsidP="00CA55AE"/>
        </w:tc>
        <w:tc>
          <w:tcPr>
            <w:tcW w:w="4428" w:type="dxa"/>
          </w:tcPr>
          <w:p w:rsidR="00CA55AE" w:rsidRDefault="00CA55AE" w:rsidP="00CA55AE"/>
          <w:p w:rsidR="00CA55AE" w:rsidRDefault="00CA55AE" w:rsidP="00CA55AE"/>
        </w:tc>
      </w:tr>
      <w:tr w:rsidR="00CA55AE">
        <w:trPr>
          <w:trHeight w:val="134"/>
        </w:trPr>
        <w:tc>
          <w:tcPr>
            <w:tcW w:w="4428" w:type="dxa"/>
          </w:tcPr>
          <w:p w:rsidR="00CA55AE" w:rsidRDefault="00CB0661" w:rsidP="00CA55AE">
            <w:r>
              <w:t>Contract Period of P</w:t>
            </w:r>
            <w:r w:rsidR="00CA55AE">
              <w:t>erformance</w:t>
            </w:r>
          </w:p>
        </w:tc>
        <w:tc>
          <w:tcPr>
            <w:tcW w:w="4428" w:type="dxa"/>
          </w:tcPr>
          <w:p w:rsidR="00CA55AE" w:rsidRDefault="00CA55AE" w:rsidP="00CA55AE">
            <w:r>
              <w:t>FY2010-FY2014</w:t>
            </w:r>
          </w:p>
        </w:tc>
      </w:tr>
    </w:tbl>
    <w:p w:rsidR="00CA55AE" w:rsidRDefault="00CA55AE" w:rsidP="00CA55AE">
      <w:pPr>
        <w:jc w:val="center"/>
      </w:pPr>
    </w:p>
    <w:p w:rsidR="00D90AB5" w:rsidRDefault="00D90AB5" w:rsidP="00D90AB5">
      <w:pPr>
        <w:pStyle w:val="Default"/>
      </w:pPr>
    </w:p>
    <w:p w:rsidR="00005C23" w:rsidRPr="00204A1B" w:rsidRDefault="00D90AB5" w:rsidP="00204A1B">
      <w:pPr>
        <w:pStyle w:val="Default"/>
        <w:jc w:val="center"/>
      </w:pPr>
      <w:r w:rsidRPr="00D90AB5">
        <w:rPr>
          <w:noProof/>
        </w:rPr>
        <w:drawing>
          <wp:inline distT="0" distB="0" distL="0" distR="0">
            <wp:extent cx="2027238" cy="709613"/>
            <wp:effectExtent l="25400" t="0" r="4762" b="0"/>
            <wp:docPr id="2" name="P 2" descr="BNLlogo_4web.gif                                               0003DE78Macintosh HD                   BA80E318:"/>
            <wp:cNvGraphicFramePr/>
            <a:graphic xmlns:a="http://schemas.openxmlformats.org/drawingml/2006/main">
              <a:graphicData uri="http://schemas.openxmlformats.org/drawingml/2006/picture">
                <pic:pic xmlns:pic="http://schemas.openxmlformats.org/drawingml/2006/picture">
                  <pic:nvPicPr>
                    <pic:cNvPr id="0" name="Picture 10" descr="BNLlogo_4web.gif                                               0003DE78Macintosh HD                   BA80E318:"/>
                    <pic:cNvPicPr>
                      <a:picLocks noChangeAspect="1" noChangeArrowheads="1"/>
                    </pic:cNvPicPr>
                  </pic:nvPicPr>
                  <pic:blipFill>
                    <a:blip r:embed="rId6"/>
                    <a:srcRect/>
                    <a:stretch>
                      <a:fillRect/>
                    </a:stretch>
                  </pic:blipFill>
                  <pic:spPr bwMode="auto">
                    <a:xfrm>
                      <a:off x="0" y="0"/>
                      <a:ext cx="2027238" cy="709613"/>
                    </a:xfrm>
                    <a:prstGeom prst="rect">
                      <a:avLst/>
                    </a:prstGeom>
                    <a:noFill/>
                    <a:ln w="9525">
                      <a:noFill/>
                      <a:miter lim="800000"/>
                      <a:headEnd/>
                      <a:tailEnd/>
                    </a:ln>
                  </pic:spPr>
                </pic:pic>
              </a:graphicData>
            </a:graphic>
          </wp:inline>
        </w:drawing>
      </w:r>
    </w:p>
    <w:p w:rsidR="00005C23" w:rsidRPr="00005C23" w:rsidRDefault="00005C23" w:rsidP="00005C23">
      <w:pPr>
        <w:pStyle w:val="Default"/>
        <w:jc w:val="center"/>
        <w:rPr>
          <w:sz w:val="28"/>
          <w:szCs w:val="20"/>
        </w:rPr>
      </w:pPr>
      <w:r w:rsidRPr="00005C23">
        <w:rPr>
          <w:b/>
          <w:bCs/>
          <w:sz w:val="28"/>
          <w:szCs w:val="20"/>
        </w:rPr>
        <w:t xml:space="preserve">HFT MONTHLY PROGRESS REPORT </w:t>
      </w:r>
    </w:p>
    <w:p w:rsidR="00CB0661" w:rsidRDefault="00B07F60" w:rsidP="00005C23">
      <w:pPr>
        <w:jc w:val="center"/>
        <w:rPr>
          <w:b/>
          <w:bCs/>
          <w:sz w:val="28"/>
          <w:szCs w:val="20"/>
        </w:rPr>
      </w:pPr>
      <w:r>
        <w:rPr>
          <w:b/>
          <w:bCs/>
          <w:sz w:val="28"/>
          <w:szCs w:val="20"/>
        </w:rPr>
        <w:t>December</w:t>
      </w:r>
      <w:r w:rsidR="00B444DB">
        <w:rPr>
          <w:b/>
          <w:bCs/>
          <w:sz w:val="28"/>
          <w:szCs w:val="20"/>
        </w:rPr>
        <w:t xml:space="preserve"> </w:t>
      </w:r>
      <w:r w:rsidR="00005C23">
        <w:rPr>
          <w:b/>
          <w:bCs/>
          <w:sz w:val="28"/>
          <w:szCs w:val="20"/>
        </w:rPr>
        <w:t>2010</w:t>
      </w:r>
    </w:p>
    <w:p w:rsidR="00CB0661" w:rsidRDefault="00CB0661" w:rsidP="00005C23">
      <w:pPr>
        <w:jc w:val="center"/>
        <w:rPr>
          <w:b/>
          <w:bCs/>
          <w:sz w:val="28"/>
          <w:szCs w:val="20"/>
        </w:rPr>
      </w:pPr>
    </w:p>
    <w:p w:rsidR="00CB0661" w:rsidRDefault="00CB0661" w:rsidP="00005C23">
      <w:pPr>
        <w:jc w:val="center"/>
        <w:rPr>
          <w:b/>
          <w:bCs/>
          <w:sz w:val="28"/>
          <w:szCs w:val="20"/>
        </w:rPr>
      </w:pPr>
    </w:p>
    <w:p w:rsidR="00B444DB" w:rsidRDefault="00B444DB" w:rsidP="00B444DB">
      <w:pPr>
        <w:pStyle w:val="Default"/>
        <w:rPr>
          <w:sz w:val="22"/>
          <w:szCs w:val="22"/>
        </w:rPr>
      </w:pPr>
      <w:r>
        <w:rPr>
          <w:b/>
          <w:bCs/>
          <w:sz w:val="22"/>
          <w:szCs w:val="22"/>
        </w:rPr>
        <w:t xml:space="preserve">I. </w:t>
      </w:r>
      <w:r w:rsidRPr="00B444DB">
        <w:rPr>
          <w:b/>
          <w:bCs/>
          <w:szCs w:val="22"/>
        </w:rPr>
        <w:t>Contractor Project Manager’s Assessment</w:t>
      </w:r>
      <w:r>
        <w:rPr>
          <w:b/>
          <w:bCs/>
          <w:sz w:val="22"/>
          <w:szCs w:val="22"/>
        </w:rPr>
        <w:t xml:space="preserve"> </w:t>
      </w:r>
    </w:p>
    <w:p w:rsidR="00B444DB" w:rsidRDefault="00B444DB" w:rsidP="00B444DB">
      <w:pPr>
        <w:pStyle w:val="Default"/>
        <w:rPr>
          <w:sz w:val="22"/>
          <w:szCs w:val="22"/>
          <w:u w:val="single"/>
        </w:rPr>
      </w:pPr>
    </w:p>
    <w:p w:rsidR="00B444DB" w:rsidRDefault="00B444DB" w:rsidP="00B444DB">
      <w:pPr>
        <w:pStyle w:val="Default"/>
        <w:rPr>
          <w:sz w:val="22"/>
          <w:szCs w:val="22"/>
        </w:rPr>
      </w:pPr>
      <w:r>
        <w:rPr>
          <w:sz w:val="22"/>
          <w:szCs w:val="22"/>
          <w:u w:val="single"/>
        </w:rPr>
        <w:t xml:space="preserve">Technical Progress and Accomplishments </w:t>
      </w:r>
    </w:p>
    <w:p w:rsidR="00B444DB" w:rsidRDefault="00B444DB" w:rsidP="00B444DB">
      <w:pPr>
        <w:pStyle w:val="Default"/>
        <w:rPr>
          <w:sz w:val="22"/>
          <w:szCs w:val="22"/>
        </w:rPr>
      </w:pPr>
    </w:p>
    <w:p w:rsidR="00B444DB" w:rsidRDefault="00B444DB" w:rsidP="00B444DB">
      <w:pPr>
        <w:pStyle w:val="Default"/>
        <w:rPr>
          <w:sz w:val="22"/>
          <w:szCs w:val="22"/>
        </w:rPr>
      </w:pPr>
      <w:r>
        <w:rPr>
          <w:sz w:val="22"/>
          <w:szCs w:val="22"/>
          <w:u w:val="single"/>
        </w:rPr>
        <w:t xml:space="preserve">Issues and Concerns </w:t>
      </w:r>
    </w:p>
    <w:p w:rsidR="00B444DB" w:rsidRDefault="00B444DB" w:rsidP="00B444DB">
      <w:pPr>
        <w:rPr>
          <w:sz w:val="22"/>
          <w:szCs w:val="22"/>
        </w:rPr>
      </w:pPr>
    </w:p>
    <w:p w:rsidR="00B444DB" w:rsidRDefault="00B444DB" w:rsidP="00B444DB">
      <w:pPr>
        <w:rPr>
          <w:sz w:val="22"/>
          <w:szCs w:val="22"/>
        </w:rPr>
      </w:pPr>
    </w:p>
    <w:p w:rsidR="00B444DB" w:rsidRDefault="00B444DB" w:rsidP="00B444DB">
      <w:pPr>
        <w:rPr>
          <w:b/>
          <w:sz w:val="22"/>
          <w:szCs w:val="22"/>
        </w:rPr>
      </w:pPr>
      <w:r>
        <w:rPr>
          <w:b/>
          <w:szCs w:val="22"/>
        </w:rPr>
        <w:t xml:space="preserve">II </w:t>
      </w:r>
      <w:r w:rsidRPr="00B444DB">
        <w:rPr>
          <w:b/>
          <w:szCs w:val="22"/>
        </w:rPr>
        <w:t>Detailed</w:t>
      </w:r>
      <w:r w:rsidRPr="00B444DB">
        <w:rPr>
          <w:b/>
          <w:sz w:val="22"/>
          <w:szCs w:val="22"/>
        </w:rPr>
        <w:t xml:space="preserve"> STATUS by WBS</w:t>
      </w:r>
    </w:p>
    <w:p w:rsidR="00B444DB" w:rsidRDefault="00B444DB" w:rsidP="00B444DB">
      <w:pPr>
        <w:rPr>
          <w:b/>
          <w:sz w:val="22"/>
          <w:szCs w:val="22"/>
        </w:rPr>
      </w:pPr>
    </w:p>
    <w:p w:rsidR="00B444DB" w:rsidRDefault="00B444DB" w:rsidP="00B444DB">
      <w:pPr>
        <w:rPr>
          <w:b/>
          <w:sz w:val="22"/>
          <w:szCs w:val="22"/>
        </w:rPr>
      </w:pPr>
    </w:p>
    <w:p w:rsidR="00B444DB" w:rsidRPr="00316D06" w:rsidRDefault="00B444DB" w:rsidP="00B444DB">
      <w:pPr>
        <w:rPr>
          <w:b/>
          <w:szCs w:val="22"/>
        </w:rPr>
      </w:pPr>
      <w:r w:rsidRPr="00316D06">
        <w:rPr>
          <w:b/>
          <w:szCs w:val="22"/>
        </w:rPr>
        <w:t>WBS 1.1 Project Management</w:t>
      </w:r>
    </w:p>
    <w:p w:rsidR="00316D06" w:rsidRDefault="00316D06" w:rsidP="00B444DB">
      <w:pPr>
        <w:rPr>
          <w:b/>
          <w:sz w:val="22"/>
          <w:szCs w:val="22"/>
        </w:rPr>
      </w:pPr>
    </w:p>
    <w:p w:rsidR="00E74515" w:rsidRDefault="00E74515" w:rsidP="00B444DB">
      <w:pPr>
        <w:rPr>
          <w:b/>
          <w:bCs/>
          <w:sz w:val="28"/>
          <w:szCs w:val="20"/>
        </w:rPr>
      </w:pPr>
    </w:p>
    <w:p w:rsidR="003C7C60" w:rsidRPr="00E74515" w:rsidRDefault="00E74515" w:rsidP="00B444DB">
      <w:pPr>
        <w:rPr>
          <w:bCs/>
          <w:szCs w:val="20"/>
        </w:rPr>
      </w:pPr>
      <w:r w:rsidRPr="00E74515">
        <w:rPr>
          <w:bCs/>
          <w:szCs w:val="20"/>
        </w:rPr>
        <w:t>The monthly teleconference with</w:t>
      </w:r>
      <w:r w:rsidR="00F06970">
        <w:rPr>
          <w:bCs/>
          <w:szCs w:val="20"/>
        </w:rPr>
        <w:t xml:space="preserve"> DOE HQ was held on December 14 (</w:t>
      </w:r>
      <w:proofErr w:type="gramStart"/>
      <w:r w:rsidR="00F06970">
        <w:rPr>
          <w:bCs/>
          <w:szCs w:val="20"/>
        </w:rPr>
        <w:t>?-</w:t>
      </w:r>
      <w:proofErr w:type="gramEnd"/>
      <w:r w:rsidR="00F06970">
        <w:rPr>
          <w:bCs/>
          <w:szCs w:val="20"/>
        </w:rPr>
        <w:t>check)</w:t>
      </w:r>
    </w:p>
    <w:p w:rsidR="003C7C60" w:rsidRPr="00E74515" w:rsidRDefault="003C7C60" w:rsidP="00B444DB">
      <w:pPr>
        <w:rPr>
          <w:b/>
          <w:bCs/>
          <w:szCs w:val="20"/>
        </w:rPr>
      </w:pPr>
    </w:p>
    <w:p w:rsidR="00E74515" w:rsidRPr="00E74515" w:rsidRDefault="00DF3C1E" w:rsidP="00B444DB">
      <w:pPr>
        <w:rPr>
          <w:bCs/>
          <w:szCs w:val="20"/>
        </w:rPr>
      </w:pPr>
      <w:r>
        <w:rPr>
          <w:bCs/>
          <w:szCs w:val="20"/>
        </w:rPr>
        <w:t xml:space="preserve">The HFT face-2-face meeting was held on December 8-9. The meeting was focused on the cost and schedule issues and progress, but did also present technical progress for all sub-systems. The talks are available on </w:t>
      </w:r>
      <w:r w:rsidR="00F06970">
        <w:rPr>
          <w:bCs/>
          <w:szCs w:val="20"/>
        </w:rPr>
        <w:t xml:space="preserve">an internal </w:t>
      </w:r>
      <w:proofErr w:type="gramStart"/>
      <w:r w:rsidR="00F06970">
        <w:rPr>
          <w:bCs/>
          <w:szCs w:val="20"/>
        </w:rPr>
        <w:t>STAR  webpage</w:t>
      </w:r>
      <w:proofErr w:type="gramEnd"/>
    </w:p>
    <w:p w:rsidR="00F06970" w:rsidRDefault="00F06970" w:rsidP="00B444DB">
      <w:pPr>
        <w:rPr>
          <w:bCs/>
          <w:szCs w:val="20"/>
        </w:rPr>
      </w:pPr>
    </w:p>
    <w:p w:rsidR="00E74515" w:rsidRPr="00E74515" w:rsidRDefault="00F06970" w:rsidP="00B444DB">
      <w:pPr>
        <w:rPr>
          <w:bCs/>
          <w:szCs w:val="20"/>
        </w:rPr>
      </w:pPr>
      <w:r>
        <w:rPr>
          <w:bCs/>
          <w:szCs w:val="20"/>
        </w:rPr>
        <w:t xml:space="preserve">There </w:t>
      </w:r>
      <w:proofErr w:type="gramStart"/>
      <w:r>
        <w:rPr>
          <w:bCs/>
          <w:szCs w:val="20"/>
        </w:rPr>
        <w:t>has</w:t>
      </w:r>
      <w:proofErr w:type="gramEnd"/>
      <w:r>
        <w:rPr>
          <w:bCs/>
          <w:szCs w:val="20"/>
        </w:rPr>
        <w:t xml:space="preserve"> been several d</w:t>
      </w:r>
      <w:r w:rsidRPr="00E74515">
        <w:rPr>
          <w:bCs/>
          <w:szCs w:val="20"/>
        </w:rPr>
        <w:t>iscussions</w:t>
      </w:r>
      <w:r w:rsidR="00E74515" w:rsidRPr="00E74515">
        <w:rPr>
          <w:bCs/>
          <w:szCs w:val="20"/>
        </w:rPr>
        <w:t xml:space="preserve"> with BNL </w:t>
      </w:r>
      <w:r>
        <w:rPr>
          <w:bCs/>
          <w:szCs w:val="20"/>
        </w:rPr>
        <w:t xml:space="preserve">PO </w:t>
      </w:r>
      <w:r w:rsidR="00E74515" w:rsidRPr="00E74515">
        <w:rPr>
          <w:bCs/>
          <w:szCs w:val="20"/>
        </w:rPr>
        <w:t>management and DOE site of</w:t>
      </w:r>
      <w:r w:rsidR="00DF3C1E">
        <w:rPr>
          <w:bCs/>
          <w:szCs w:val="20"/>
        </w:rPr>
        <w:t>fice on schedule and follow-up on management issues.</w:t>
      </w:r>
      <w:r>
        <w:rPr>
          <w:bCs/>
          <w:szCs w:val="20"/>
        </w:rPr>
        <w:t xml:space="preserve"> It seems that the documents needed for the pre CD2/3 review are also requested for the BNL read cost % schedule and technical review. This set the timetable for the cd2/3 process. It appears that a target date for mid-</w:t>
      </w:r>
      <w:proofErr w:type="spellStart"/>
      <w:r>
        <w:rPr>
          <w:bCs/>
          <w:szCs w:val="20"/>
        </w:rPr>
        <w:t>february</w:t>
      </w:r>
      <w:proofErr w:type="spellEnd"/>
      <w:r>
        <w:rPr>
          <w:bCs/>
          <w:szCs w:val="20"/>
        </w:rPr>
        <w:t xml:space="preserve"> for these documents is quite achievable.</w:t>
      </w:r>
    </w:p>
    <w:p w:rsidR="00E74515" w:rsidRPr="00E74515" w:rsidRDefault="00E74515" w:rsidP="00B444DB">
      <w:pPr>
        <w:rPr>
          <w:bCs/>
          <w:szCs w:val="20"/>
        </w:rPr>
      </w:pPr>
    </w:p>
    <w:p w:rsidR="00E74515" w:rsidRPr="00E74515" w:rsidRDefault="00E74515" w:rsidP="00B444DB">
      <w:pPr>
        <w:rPr>
          <w:bCs/>
          <w:szCs w:val="20"/>
        </w:rPr>
      </w:pPr>
      <w:r w:rsidRPr="00E74515">
        <w:rPr>
          <w:bCs/>
          <w:szCs w:val="20"/>
        </w:rPr>
        <w:t xml:space="preserve">Establishing documents to ensure that we have dealt with all recommendations for the pre-CD1 </w:t>
      </w:r>
      <w:proofErr w:type="gramStart"/>
      <w:r w:rsidRPr="00E74515">
        <w:rPr>
          <w:bCs/>
          <w:szCs w:val="20"/>
        </w:rPr>
        <w:t>review ,</w:t>
      </w:r>
      <w:proofErr w:type="gramEnd"/>
      <w:r w:rsidRPr="00E74515">
        <w:rPr>
          <w:bCs/>
          <w:szCs w:val="20"/>
        </w:rPr>
        <w:t xml:space="preserve"> as well as the comments in the review report. Each sub-system is actively reviewing, updating and providing documentation for the items.</w:t>
      </w:r>
    </w:p>
    <w:p w:rsidR="00E74515" w:rsidRPr="00E74515" w:rsidRDefault="00E74515" w:rsidP="00B444DB">
      <w:pPr>
        <w:rPr>
          <w:bCs/>
          <w:szCs w:val="20"/>
        </w:rPr>
      </w:pPr>
    </w:p>
    <w:p w:rsidR="00E74515" w:rsidRPr="00E74515" w:rsidRDefault="00E74515" w:rsidP="00B444DB">
      <w:pPr>
        <w:rPr>
          <w:bCs/>
          <w:szCs w:val="20"/>
        </w:rPr>
      </w:pPr>
      <w:r w:rsidRPr="00E74515">
        <w:rPr>
          <w:bCs/>
          <w:szCs w:val="20"/>
        </w:rPr>
        <w:t>The update of the PEP to match the 413B proposed layout is underway. The next documents to be revisited are the Acquisition Strategy plan and the Risk Management Plan.</w:t>
      </w:r>
    </w:p>
    <w:p w:rsidR="00E74515" w:rsidRPr="00E74515" w:rsidRDefault="00E74515" w:rsidP="00B444DB">
      <w:pPr>
        <w:rPr>
          <w:bCs/>
          <w:szCs w:val="20"/>
        </w:rPr>
      </w:pPr>
    </w:p>
    <w:p w:rsidR="003C7C60" w:rsidRDefault="003C7C60" w:rsidP="00B444DB">
      <w:pPr>
        <w:rPr>
          <w:bCs/>
          <w:sz w:val="28"/>
          <w:szCs w:val="20"/>
        </w:rPr>
      </w:pPr>
    </w:p>
    <w:p w:rsidR="003C7C60" w:rsidRDefault="003C7C60" w:rsidP="00B444DB">
      <w:pPr>
        <w:rPr>
          <w:bCs/>
          <w:sz w:val="28"/>
          <w:szCs w:val="20"/>
        </w:rPr>
      </w:pPr>
    </w:p>
    <w:p w:rsidR="00CB0661" w:rsidRPr="003C7C60" w:rsidRDefault="00CB0661" w:rsidP="00B444DB">
      <w:pPr>
        <w:rPr>
          <w:bCs/>
          <w:sz w:val="28"/>
          <w:szCs w:val="20"/>
        </w:rPr>
      </w:pPr>
    </w:p>
    <w:p w:rsidR="00B444DB" w:rsidRDefault="00B444DB" w:rsidP="00CB0661">
      <w:pPr>
        <w:rPr>
          <w:b/>
          <w:bCs/>
          <w:szCs w:val="20"/>
        </w:rPr>
      </w:pPr>
      <w:r w:rsidRPr="00B444DB">
        <w:rPr>
          <w:b/>
          <w:bCs/>
          <w:szCs w:val="20"/>
        </w:rPr>
        <w:t>WBS 1.2 PXL detector</w:t>
      </w:r>
    </w:p>
    <w:p w:rsidR="00B444DB" w:rsidRDefault="00B444DB" w:rsidP="00CB0661">
      <w:pPr>
        <w:rPr>
          <w:b/>
          <w:bCs/>
          <w:szCs w:val="20"/>
        </w:rPr>
      </w:pPr>
    </w:p>
    <w:p w:rsidR="00B444DB" w:rsidRDefault="00B444DB" w:rsidP="00CB0661">
      <w:pPr>
        <w:rPr>
          <w:bCs/>
          <w:szCs w:val="20"/>
          <w:u w:val="single"/>
        </w:rPr>
      </w:pPr>
      <w:r w:rsidRPr="00B444DB">
        <w:rPr>
          <w:bCs/>
          <w:szCs w:val="20"/>
          <w:u w:val="single"/>
        </w:rPr>
        <w:t>Mechanical</w:t>
      </w:r>
    </w:p>
    <w:p w:rsidR="00542C26" w:rsidRDefault="00542C26" w:rsidP="00CB0661">
      <w:pPr>
        <w:rPr>
          <w:bCs/>
          <w:szCs w:val="20"/>
          <w:u w:val="single"/>
        </w:rPr>
      </w:pPr>
    </w:p>
    <w:p w:rsidR="00542C26" w:rsidRDefault="00542C26" w:rsidP="00542C26">
      <w:r>
        <w:t xml:space="preserve">Detailed design for the rails in the PXL transport box has been completed.  </w:t>
      </w:r>
    </w:p>
    <w:p w:rsidR="00542C26" w:rsidRDefault="00542C26" w:rsidP="00542C26">
      <w:r>
        <w:t>The final element in this design is a read out system that accurately determines when the box rails are aligned with the support rails in the STAR experiment.  The original concept for this system was getting too complicated and a new approach is being developed which will be more intuitive in its operation.</w:t>
      </w:r>
    </w:p>
    <w:p w:rsidR="00542C26" w:rsidRDefault="00542C26" w:rsidP="00542C26"/>
    <w:p w:rsidR="00542C26" w:rsidRDefault="00542C26" w:rsidP="00542C26">
      <w:r>
        <w:t xml:space="preserve">A significant amount of time and people effort has continued this month to explore ways that the Adept database system can be made usable for people not at the BNL site.  Again most of this effort has been devoted to trying to overcome obstacles imposed by BNL cyber security.  It is still not known if the Adept approach will be workable for west coast operation. </w:t>
      </w:r>
    </w:p>
    <w:p w:rsidR="00B444DB" w:rsidRDefault="00B444DB" w:rsidP="00CB0661">
      <w:pPr>
        <w:rPr>
          <w:bCs/>
          <w:szCs w:val="20"/>
          <w:u w:val="single"/>
        </w:rPr>
      </w:pPr>
    </w:p>
    <w:p w:rsidR="00B444DB" w:rsidRDefault="00B444DB" w:rsidP="00CB0661">
      <w:pPr>
        <w:rPr>
          <w:bCs/>
          <w:szCs w:val="20"/>
          <w:u w:val="single"/>
        </w:rPr>
      </w:pPr>
    </w:p>
    <w:p w:rsidR="00B444DB" w:rsidRDefault="00B444DB" w:rsidP="00CB0661">
      <w:pPr>
        <w:rPr>
          <w:bCs/>
          <w:szCs w:val="20"/>
          <w:u w:val="single"/>
        </w:rPr>
      </w:pPr>
      <w:r>
        <w:rPr>
          <w:bCs/>
          <w:szCs w:val="20"/>
          <w:u w:val="single"/>
        </w:rPr>
        <w:t>Sensors and Electronics</w:t>
      </w:r>
    </w:p>
    <w:p w:rsidR="003C7C60" w:rsidRDefault="003C7C60" w:rsidP="00CB0661">
      <w:pPr>
        <w:rPr>
          <w:bCs/>
          <w:szCs w:val="20"/>
          <w:u w:val="single"/>
        </w:rPr>
      </w:pPr>
    </w:p>
    <w:p w:rsidR="003C7C60" w:rsidRDefault="003C7C60" w:rsidP="003C7C60">
      <w:r>
        <w:t>PXL electronics Monthly Report</w:t>
      </w:r>
    </w:p>
    <w:p w:rsidR="003C7C60" w:rsidRDefault="003C7C60" w:rsidP="003C7C60">
      <w:r>
        <w:t xml:space="preserve">During the month of December we made significant progress on PXL electronics and sensor tasks. </w:t>
      </w:r>
    </w:p>
    <w:p w:rsidR="00542C26" w:rsidRDefault="003C7C60" w:rsidP="003C7C60">
      <w:r>
        <w:t xml:space="preserve">We held a sensor design review on December 6-7 at BNL. Most all preparatory material including extensive documentation and design process back up material is now available on the review website at </w:t>
      </w:r>
      <w:hyperlink r:id="rId7" w:history="1">
        <w:r w:rsidRPr="00431684">
          <w:rPr>
            <w:rStyle w:val="Hyperlink"/>
          </w:rPr>
          <w:t>http://rnc.lbl.gov/hft/hardware/docs/sensor_review/</w:t>
        </w:r>
      </w:hyperlink>
      <w:r>
        <w:t xml:space="preserve">. The review went very well. While the review report is not yet available, there were no findings that will delay the submission of the prototype for the final sensor. The final preparation is underway and on schedule for a submission of this design to the AMS foundry in </w:t>
      </w:r>
      <w:r w:rsidR="00542C26">
        <w:t>mid-</w:t>
      </w:r>
      <w:r>
        <w:t>January.</w:t>
      </w:r>
    </w:p>
    <w:p w:rsidR="003C7C60" w:rsidRDefault="003C7C60" w:rsidP="003C7C60"/>
    <w:p w:rsidR="003C7C60" w:rsidRDefault="003C7C60" w:rsidP="003C7C60">
      <w:r>
        <w:t xml:space="preserve">The Phase-1 sensor test boards at the University of Texas, Austin are under test and preparation for configuring into a telescope configuration. We have moved the beam testing date from a tentative test beam time at </w:t>
      </w:r>
      <w:proofErr w:type="spellStart"/>
      <w:r>
        <w:t>Fermilab</w:t>
      </w:r>
      <w:proofErr w:type="spellEnd"/>
      <w:r>
        <w:t xml:space="preserve"> of February 2-16, 2011 to a tentative testing time of April 2011 where we plan on joining the STAR FGT for a beam run in the test beam facility at DESY. This delay is to allow us to coordinate our work with the FGT and to concentrate of a higher priority Latch-up test planned for the HI running period at STAR. Work is progressing on the readout firmware and software in support of this telescope test to measure the sensor efficiency to </w:t>
      </w:r>
      <w:proofErr w:type="spellStart"/>
      <w:r>
        <w:t>MIPs</w:t>
      </w:r>
      <w:proofErr w:type="spellEnd"/>
      <w:r>
        <w:t xml:space="preserve"> as a function of various bias settings.</w:t>
      </w:r>
    </w:p>
    <w:p w:rsidR="005431B0" w:rsidRDefault="005431B0" w:rsidP="003C7C60"/>
    <w:p w:rsidR="003C7C60" w:rsidRDefault="003C7C60" w:rsidP="003C7C60">
      <w:r>
        <w:t xml:space="preserve">We are designing a testing board that will allow us to test the Mimosa-26 sensor on both regular and high-resistivity substrate for latch-up in the STAR environment. We plan to fabricate, test and install this test setup just outside of the </w:t>
      </w:r>
      <w:proofErr w:type="spellStart"/>
      <w:r>
        <w:t>endcap</w:t>
      </w:r>
      <w:proofErr w:type="spellEnd"/>
      <w:r>
        <w:t xml:space="preserve"> magnet iron in the area of the highest measured radiation dose. This is expected to provide a tie between the measurements done at latch-up testing facilities and what can be expected in the STAR environment.</w:t>
      </w:r>
    </w:p>
    <w:p w:rsidR="005431B0" w:rsidRDefault="005431B0" w:rsidP="003C7C60">
      <w:pPr>
        <w:rPr>
          <w:rFonts w:cstheme="minorHAnsi"/>
        </w:rPr>
      </w:pPr>
    </w:p>
    <w:p w:rsidR="005431B0" w:rsidRPr="005431B0" w:rsidRDefault="005431B0" w:rsidP="003C7C60">
      <w:pPr>
        <w:rPr>
          <w:rFonts w:cstheme="minorHAnsi"/>
          <w:u w:val="single"/>
        </w:rPr>
      </w:pPr>
      <w:r w:rsidRPr="005431B0">
        <w:rPr>
          <w:rFonts w:cstheme="minorHAnsi"/>
          <w:u w:val="single"/>
        </w:rPr>
        <w:t>Cost &amp; schedule</w:t>
      </w:r>
    </w:p>
    <w:p w:rsidR="003C7C60" w:rsidRDefault="003C7C60" w:rsidP="003C7C60">
      <w:pPr>
        <w:rPr>
          <w:rFonts w:cstheme="minorHAnsi"/>
        </w:rPr>
      </w:pPr>
    </w:p>
    <w:p w:rsidR="003C7C60" w:rsidRDefault="003C7C60" w:rsidP="003C7C60">
      <w:r w:rsidRPr="00E800F5">
        <w:rPr>
          <w:rFonts w:cstheme="minorHAnsi"/>
        </w:rPr>
        <w:t>The cost and schedule documentation</w:t>
      </w:r>
      <w:r>
        <w:t xml:space="preserve"> have been significantly updated in preparation for the next set of reviews. Other documentation including supporting documentation for the design and Basis of Estimate work is ongoing as is organization of the document into a review package.</w:t>
      </w:r>
    </w:p>
    <w:p w:rsidR="003C7C60" w:rsidRDefault="003C7C60" w:rsidP="003C7C60"/>
    <w:p w:rsidR="00B444DB" w:rsidRDefault="00B444DB" w:rsidP="00CB0661">
      <w:pPr>
        <w:rPr>
          <w:bCs/>
          <w:szCs w:val="20"/>
          <w:u w:val="single"/>
        </w:rPr>
      </w:pPr>
    </w:p>
    <w:p w:rsidR="00B444DB" w:rsidRDefault="00B444DB" w:rsidP="00CB0661">
      <w:pPr>
        <w:rPr>
          <w:b/>
          <w:bCs/>
          <w:szCs w:val="20"/>
        </w:rPr>
      </w:pPr>
    </w:p>
    <w:p w:rsidR="00B444DB" w:rsidRDefault="00B444DB" w:rsidP="00CB0661">
      <w:pPr>
        <w:rPr>
          <w:b/>
          <w:bCs/>
          <w:szCs w:val="20"/>
        </w:rPr>
      </w:pPr>
      <w:r>
        <w:rPr>
          <w:b/>
          <w:bCs/>
          <w:szCs w:val="20"/>
        </w:rPr>
        <w:t>WBS 1.3 IST detector</w:t>
      </w:r>
    </w:p>
    <w:p w:rsidR="00316D06" w:rsidRDefault="00316D06" w:rsidP="00CB0661">
      <w:pPr>
        <w:rPr>
          <w:b/>
          <w:bCs/>
          <w:szCs w:val="20"/>
        </w:rPr>
      </w:pPr>
    </w:p>
    <w:p w:rsidR="005431B0" w:rsidRDefault="005431B0" w:rsidP="00CB0661">
      <w:pPr>
        <w:rPr>
          <w:bCs/>
          <w:szCs w:val="20"/>
        </w:rPr>
      </w:pPr>
    </w:p>
    <w:p w:rsidR="005431B0" w:rsidRDefault="005431B0" w:rsidP="005431B0">
      <w:pPr>
        <w:rPr>
          <w:bCs/>
          <w:szCs w:val="20"/>
          <w:u w:val="single"/>
        </w:rPr>
      </w:pPr>
      <w:r>
        <w:rPr>
          <w:bCs/>
          <w:szCs w:val="20"/>
          <w:u w:val="single"/>
        </w:rPr>
        <w:t>Mechanical</w:t>
      </w:r>
    </w:p>
    <w:p w:rsidR="00575AEF" w:rsidRPr="00575AEF" w:rsidRDefault="00575AEF" w:rsidP="00CB0661">
      <w:pPr>
        <w:rPr>
          <w:bCs/>
          <w:szCs w:val="20"/>
        </w:rPr>
      </w:pPr>
    </w:p>
    <w:p w:rsidR="00575AEF" w:rsidRPr="00575AEF" w:rsidRDefault="00575AEF" w:rsidP="00575AEF">
      <w:pPr>
        <w:rPr>
          <w:bCs/>
          <w:szCs w:val="20"/>
        </w:rPr>
      </w:pPr>
      <w:r w:rsidRPr="00575AEF">
        <w:rPr>
          <w:bCs/>
          <w:szCs w:val="20"/>
        </w:rPr>
        <w:t xml:space="preserve">The </w:t>
      </w:r>
      <w:proofErr w:type="spellStart"/>
      <w:r w:rsidRPr="00575AEF">
        <w:rPr>
          <w:bCs/>
          <w:szCs w:val="20"/>
        </w:rPr>
        <w:t>kapton</w:t>
      </w:r>
      <w:proofErr w:type="spellEnd"/>
      <w:r w:rsidRPr="00575AEF">
        <w:rPr>
          <w:bCs/>
          <w:szCs w:val="20"/>
        </w:rPr>
        <w:t xml:space="preserve"> flex hybrid design for the ladder prototyping</w:t>
      </w:r>
      <w:r w:rsidR="00B2618A">
        <w:rPr>
          <w:bCs/>
          <w:szCs w:val="20"/>
        </w:rPr>
        <w:t xml:space="preserve"> </w:t>
      </w:r>
      <w:r w:rsidRPr="00575AEF">
        <w:rPr>
          <w:bCs/>
          <w:szCs w:val="20"/>
        </w:rPr>
        <w:t xml:space="preserve">is in its last stages before </w:t>
      </w:r>
      <w:r w:rsidR="00B2618A">
        <w:rPr>
          <w:bCs/>
          <w:szCs w:val="20"/>
        </w:rPr>
        <w:t xml:space="preserve">production. The design is being </w:t>
      </w:r>
      <w:r w:rsidRPr="00575AEF">
        <w:rPr>
          <w:bCs/>
          <w:szCs w:val="20"/>
        </w:rPr>
        <w:t>adapted to</w:t>
      </w:r>
      <w:r w:rsidR="00B2618A">
        <w:rPr>
          <w:bCs/>
          <w:szCs w:val="20"/>
        </w:rPr>
        <w:t xml:space="preserve"> the design rules of the hybrid </w:t>
      </w:r>
      <w:r w:rsidRPr="00575AEF">
        <w:rPr>
          <w:bCs/>
          <w:szCs w:val="20"/>
        </w:rPr>
        <w:t>manufacturer.</w:t>
      </w:r>
      <w:r w:rsidR="005431B0">
        <w:rPr>
          <w:bCs/>
          <w:szCs w:val="20"/>
        </w:rPr>
        <w:t xml:space="preserve"> </w:t>
      </w:r>
      <w:r w:rsidRPr="00575AEF">
        <w:rPr>
          <w:bCs/>
          <w:szCs w:val="20"/>
        </w:rPr>
        <w:t>The main change is to facilitate 4/4 design rules by changing</w:t>
      </w:r>
      <w:r w:rsidR="00B2618A">
        <w:rPr>
          <w:bCs/>
          <w:szCs w:val="20"/>
        </w:rPr>
        <w:t xml:space="preserve"> </w:t>
      </w:r>
      <w:r w:rsidRPr="00575AEF">
        <w:rPr>
          <w:bCs/>
          <w:szCs w:val="20"/>
        </w:rPr>
        <w:t>the copper thickness from 1 Oz to 1/2 Oz. An issue with the</w:t>
      </w:r>
      <w:r w:rsidR="00B2618A">
        <w:rPr>
          <w:bCs/>
          <w:szCs w:val="20"/>
        </w:rPr>
        <w:t xml:space="preserve"> </w:t>
      </w:r>
      <w:r w:rsidRPr="00575AEF">
        <w:rPr>
          <w:bCs/>
          <w:szCs w:val="20"/>
        </w:rPr>
        <w:t>large size of the solder m</w:t>
      </w:r>
      <w:r w:rsidR="00B2618A">
        <w:rPr>
          <w:bCs/>
          <w:szCs w:val="20"/>
        </w:rPr>
        <w:t xml:space="preserve">asks also needs to be resolved. </w:t>
      </w:r>
      <w:r w:rsidRPr="00575AEF">
        <w:rPr>
          <w:bCs/>
          <w:szCs w:val="20"/>
        </w:rPr>
        <w:t>The design is expected to be ready by January 14, 2011.</w:t>
      </w:r>
    </w:p>
    <w:p w:rsidR="005431B0" w:rsidRDefault="005431B0" w:rsidP="00575AEF">
      <w:pPr>
        <w:rPr>
          <w:bCs/>
          <w:szCs w:val="20"/>
        </w:rPr>
      </w:pPr>
    </w:p>
    <w:p w:rsidR="005431B0" w:rsidRDefault="005431B0" w:rsidP="005431B0">
      <w:pPr>
        <w:rPr>
          <w:bCs/>
          <w:szCs w:val="20"/>
          <w:u w:val="single"/>
        </w:rPr>
      </w:pPr>
      <w:r>
        <w:rPr>
          <w:bCs/>
          <w:szCs w:val="20"/>
          <w:u w:val="single"/>
        </w:rPr>
        <w:t>Sensors and electronics</w:t>
      </w:r>
    </w:p>
    <w:p w:rsidR="00575AEF" w:rsidRPr="00575AEF" w:rsidRDefault="00575AEF" w:rsidP="00575AEF">
      <w:pPr>
        <w:rPr>
          <w:bCs/>
          <w:szCs w:val="20"/>
        </w:rPr>
      </w:pPr>
    </w:p>
    <w:p w:rsidR="00575AEF" w:rsidRPr="00575AEF" w:rsidRDefault="00575AEF" w:rsidP="00575AEF">
      <w:pPr>
        <w:rPr>
          <w:bCs/>
          <w:szCs w:val="20"/>
        </w:rPr>
      </w:pPr>
      <w:r w:rsidRPr="00575AEF">
        <w:rPr>
          <w:bCs/>
          <w:szCs w:val="20"/>
        </w:rPr>
        <w:t>It was decided that it would</w:t>
      </w:r>
      <w:r w:rsidR="00B2618A">
        <w:rPr>
          <w:bCs/>
          <w:szCs w:val="20"/>
        </w:rPr>
        <w:t xml:space="preserve"> be financially more beneficial </w:t>
      </w:r>
      <w:r w:rsidRPr="00575AEF">
        <w:rPr>
          <w:bCs/>
          <w:szCs w:val="20"/>
        </w:rPr>
        <w:t>to have the Silicon sensor prototypes directly ordered by</w:t>
      </w:r>
      <w:r w:rsidR="005431B0">
        <w:rPr>
          <w:bCs/>
          <w:szCs w:val="20"/>
        </w:rPr>
        <w:t xml:space="preserve"> </w:t>
      </w:r>
      <w:r w:rsidRPr="00575AEF">
        <w:rPr>
          <w:bCs/>
          <w:szCs w:val="20"/>
        </w:rPr>
        <w:t xml:space="preserve">BNL rather than by the sub-contracting MIT. </w:t>
      </w:r>
      <w:r w:rsidR="00B2618A">
        <w:rPr>
          <w:bCs/>
          <w:szCs w:val="20"/>
        </w:rPr>
        <w:t xml:space="preserve"> </w:t>
      </w:r>
      <w:r w:rsidRPr="00575AEF">
        <w:rPr>
          <w:bCs/>
          <w:szCs w:val="20"/>
        </w:rPr>
        <w:t>On January 26 this order</w:t>
      </w:r>
      <w:r w:rsidR="00B2618A">
        <w:rPr>
          <w:bCs/>
          <w:szCs w:val="20"/>
        </w:rPr>
        <w:t xml:space="preserve"> will be reviewed at BNL and it </w:t>
      </w:r>
      <w:r w:rsidRPr="00575AEF">
        <w:rPr>
          <w:bCs/>
          <w:szCs w:val="20"/>
        </w:rPr>
        <w:t>is expected that the order will go out by February 1.</w:t>
      </w:r>
    </w:p>
    <w:p w:rsidR="00575AEF" w:rsidRPr="00575AEF" w:rsidRDefault="00575AEF" w:rsidP="00575AEF">
      <w:pPr>
        <w:rPr>
          <w:bCs/>
          <w:szCs w:val="20"/>
        </w:rPr>
      </w:pPr>
      <w:r w:rsidRPr="00575AEF">
        <w:rPr>
          <w:bCs/>
          <w:szCs w:val="20"/>
        </w:rPr>
        <w:t xml:space="preserve">In the mean time </w:t>
      </w:r>
      <w:proofErr w:type="gramStart"/>
      <w:r w:rsidRPr="00575AEF">
        <w:rPr>
          <w:bCs/>
          <w:szCs w:val="20"/>
        </w:rPr>
        <w:t>a</w:t>
      </w:r>
      <w:proofErr w:type="gramEnd"/>
      <w:r w:rsidRPr="00575AEF">
        <w:rPr>
          <w:bCs/>
          <w:szCs w:val="20"/>
        </w:rPr>
        <w:t xml:space="preserve"> official request for quotation will go</w:t>
      </w:r>
      <w:r w:rsidR="00B2618A">
        <w:rPr>
          <w:bCs/>
          <w:szCs w:val="20"/>
        </w:rPr>
        <w:t xml:space="preserve"> </w:t>
      </w:r>
      <w:r w:rsidRPr="00575AEF">
        <w:rPr>
          <w:bCs/>
          <w:szCs w:val="20"/>
        </w:rPr>
        <w:t>out to Hamamatsu and the purchase order is being</w:t>
      </w:r>
      <w:r w:rsidR="00B2618A">
        <w:rPr>
          <w:bCs/>
          <w:szCs w:val="20"/>
        </w:rPr>
        <w:t xml:space="preserve"> </w:t>
      </w:r>
      <w:r w:rsidRPr="00575AEF">
        <w:rPr>
          <w:bCs/>
          <w:szCs w:val="20"/>
        </w:rPr>
        <w:t>prepared by BNL.</w:t>
      </w:r>
      <w:r w:rsidR="00B2618A">
        <w:rPr>
          <w:bCs/>
          <w:szCs w:val="20"/>
        </w:rPr>
        <w:t xml:space="preserve"> </w:t>
      </w:r>
      <w:r w:rsidRPr="00575AEF">
        <w:rPr>
          <w:bCs/>
          <w:szCs w:val="20"/>
        </w:rPr>
        <w:t>If all goes according to the current schedule the 8</w:t>
      </w:r>
      <w:r w:rsidR="00B2618A">
        <w:rPr>
          <w:bCs/>
          <w:szCs w:val="20"/>
        </w:rPr>
        <w:t xml:space="preserve"> </w:t>
      </w:r>
      <w:r w:rsidRPr="00575AEF">
        <w:rPr>
          <w:bCs/>
          <w:szCs w:val="20"/>
        </w:rPr>
        <w:t>Silicon sensor pro</w:t>
      </w:r>
      <w:r w:rsidR="00B2618A">
        <w:rPr>
          <w:bCs/>
          <w:szCs w:val="20"/>
        </w:rPr>
        <w:t xml:space="preserve">totypes are expected by the </w:t>
      </w:r>
      <w:proofErr w:type="spellStart"/>
      <w:r w:rsidR="00B2618A">
        <w:rPr>
          <w:bCs/>
          <w:szCs w:val="20"/>
        </w:rPr>
        <w:t>end</w:t>
      </w:r>
      <w:r w:rsidRPr="00575AEF">
        <w:rPr>
          <w:bCs/>
          <w:szCs w:val="20"/>
        </w:rPr>
        <w:t>of</w:t>
      </w:r>
      <w:proofErr w:type="spellEnd"/>
      <w:r w:rsidRPr="00575AEF">
        <w:rPr>
          <w:bCs/>
          <w:szCs w:val="20"/>
        </w:rPr>
        <w:t xml:space="preserve"> </w:t>
      </w:r>
      <w:proofErr w:type="gramStart"/>
      <w:r w:rsidRPr="00575AEF">
        <w:rPr>
          <w:bCs/>
          <w:szCs w:val="20"/>
        </w:rPr>
        <w:t>July,</w:t>
      </w:r>
      <w:proofErr w:type="gramEnd"/>
      <w:r w:rsidRPr="00575AEF">
        <w:rPr>
          <w:bCs/>
          <w:szCs w:val="20"/>
        </w:rPr>
        <w:t xml:space="preserve"> 2011. </w:t>
      </w:r>
    </w:p>
    <w:p w:rsidR="00575AEF" w:rsidRPr="00575AEF" w:rsidRDefault="00575AEF" w:rsidP="00575AEF">
      <w:pPr>
        <w:rPr>
          <w:bCs/>
          <w:szCs w:val="20"/>
        </w:rPr>
      </w:pPr>
    </w:p>
    <w:p w:rsidR="00575AEF" w:rsidRPr="00575AEF" w:rsidRDefault="00575AEF" w:rsidP="00575AEF">
      <w:pPr>
        <w:rPr>
          <w:bCs/>
          <w:szCs w:val="20"/>
        </w:rPr>
      </w:pPr>
      <w:r w:rsidRPr="00575AEF">
        <w:rPr>
          <w:bCs/>
          <w:szCs w:val="20"/>
        </w:rPr>
        <w:t xml:space="preserve">The IST readout system consists of an Wiener </w:t>
      </w:r>
      <w:proofErr w:type="spellStart"/>
      <w:r w:rsidRPr="00575AEF">
        <w:rPr>
          <w:bCs/>
          <w:szCs w:val="20"/>
        </w:rPr>
        <w:t>MPod</w:t>
      </w:r>
      <w:proofErr w:type="spellEnd"/>
      <w:r w:rsidRPr="00575AEF">
        <w:rPr>
          <w:bCs/>
          <w:szCs w:val="20"/>
        </w:rPr>
        <w:t xml:space="preserve"> crates, </w:t>
      </w:r>
      <w:proofErr w:type="gramStart"/>
      <w:r w:rsidRPr="00575AEF">
        <w:rPr>
          <w:bCs/>
          <w:szCs w:val="20"/>
        </w:rPr>
        <w:t xml:space="preserve">APV </w:t>
      </w:r>
      <w:r w:rsidR="00B2618A">
        <w:rPr>
          <w:bCs/>
          <w:szCs w:val="20"/>
        </w:rPr>
        <w:t xml:space="preserve"> </w:t>
      </w:r>
      <w:r w:rsidRPr="00575AEF">
        <w:rPr>
          <w:bCs/>
          <w:szCs w:val="20"/>
        </w:rPr>
        <w:t>Readout</w:t>
      </w:r>
      <w:proofErr w:type="gramEnd"/>
      <w:r w:rsidRPr="00575AEF">
        <w:rPr>
          <w:bCs/>
          <w:szCs w:val="20"/>
        </w:rPr>
        <w:t xml:space="preserve"> Modules (</w:t>
      </w:r>
      <w:proofErr w:type="spellStart"/>
      <w:r w:rsidRPr="00575AEF">
        <w:rPr>
          <w:bCs/>
          <w:szCs w:val="20"/>
        </w:rPr>
        <w:t>ARM's</w:t>
      </w:r>
      <w:proofErr w:type="spellEnd"/>
      <w:r w:rsidRPr="00575AEF">
        <w:rPr>
          <w:bCs/>
          <w:szCs w:val="20"/>
        </w:rPr>
        <w:t>) and APV Readout Controllers (</w:t>
      </w:r>
      <w:proofErr w:type="spellStart"/>
      <w:r w:rsidRPr="00575AEF">
        <w:rPr>
          <w:bCs/>
          <w:szCs w:val="20"/>
        </w:rPr>
        <w:t>ARC's</w:t>
      </w:r>
      <w:proofErr w:type="spellEnd"/>
      <w:r w:rsidRPr="00575AEF">
        <w:rPr>
          <w:bCs/>
          <w:szCs w:val="20"/>
        </w:rPr>
        <w:t>).</w:t>
      </w:r>
      <w:r w:rsidR="00B2618A">
        <w:rPr>
          <w:bCs/>
          <w:szCs w:val="20"/>
        </w:rPr>
        <w:t xml:space="preserve"> </w:t>
      </w:r>
      <w:r w:rsidRPr="00575AEF">
        <w:rPr>
          <w:bCs/>
          <w:szCs w:val="20"/>
        </w:rPr>
        <w:t xml:space="preserve">The first </w:t>
      </w:r>
      <w:proofErr w:type="spellStart"/>
      <w:r w:rsidRPr="00575AEF">
        <w:rPr>
          <w:bCs/>
          <w:szCs w:val="20"/>
        </w:rPr>
        <w:t>ARC's</w:t>
      </w:r>
      <w:proofErr w:type="spellEnd"/>
      <w:r w:rsidRPr="00575AEF">
        <w:rPr>
          <w:bCs/>
          <w:szCs w:val="20"/>
        </w:rPr>
        <w:t>, which accept STAR tri</w:t>
      </w:r>
      <w:r w:rsidR="00B2618A">
        <w:rPr>
          <w:bCs/>
          <w:szCs w:val="20"/>
        </w:rPr>
        <w:t xml:space="preserve">ggers and provide the interface </w:t>
      </w:r>
      <w:r w:rsidRPr="00575AEF">
        <w:rPr>
          <w:bCs/>
          <w:szCs w:val="20"/>
        </w:rPr>
        <w:t xml:space="preserve">between DAQ and the </w:t>
      </w:r>
      <w:proofErr w:type="spellStart"/>
      <w:r w:rsidRPr="00575AEF">
        <w:rPr>
          <w:bCs/>
          <w:szCs w:val="20"/>
        </w:rPr>
        <w:t>ARM's</w:t>
      </w:r>
      <w:proofErr w:type="spellEnd"/>
      <w:r w:rsidRPr="00575AEF">
        <w:rPr>
          <w:bCs/>
          <w:szCs w:val="20"/>
        </w:rPr>
        <w:t>, are still being tested at Argonne National</w:t>
      </w:r>
      <w:r w:rsidR="00B2618A">
        <w:rPr>
          <w:bCs/>
          <w:szCs w:val="20"/>
        </w:rPr>
        <w:t xml:space="preserve"> </w:t>
      </w:r>
      <w:r w:rsidRPr="00575AEF">
        <w:rPr>
          <w:bCs/>
          <w:szCs w:val="20"/>
        </w:rPr>
        <w:t>Laboratory (ANL).</w:t>
      </w:r>
    </w:p>
    <w:p w:rsidR="00575AEF" w:rsidRPr="00575AEF" w:rsidRDefault="00575AEF" w:rsidP="00575AEF">
      <w:pPr>
        <w:rPr>
          <w:bCs/>
          <w:szCs w:val="20"/>
        </w:rPr>
      </w:pPr>
      <w:r w:rsidRPr="00575AEF">
        <w:rPr>
          <w:bCs/>
          <w:szCs w:val="20"/>
        </w:rPr>
        <w:t>The ARM design wa</w:t>
      </w:r>
      <w:r>
        <w:rPr>
          <w:bCs/>
          <w:szCs w:val="20"/>
        </w:rPr>
        <w:t>s almost finished in Decem</w:t>
      </w:r>
      <w:r w:rsidR="005431B0">
        <w:rPr>
          <w:bCs/>
          <w:szCs w:val="20"/>
        </w:rPr>
        <w:t>ber</w:t>
      </w:r>
      <w:proofErr w:type="gramStart"/>
      <w:r w:rsidR="005431B0">
        <w:rPr>
          <w:bCs/>
          <w:szCs w:val="20"/>
        </w:rPr>
        <w:t>;</w:t>
      </w:r>
      <w:r>
        <w:rPr>
          <w:bCs/>
          <w:szCs w:val="20"/>
        </w:rPr>
        <w:t xml:space="preserve">  </w:t>
      </w:r>
      <w:r w:rsidRPr="00575AEF">
        <w:rPr>
          <w:bCs/>
          <w:szCs w:val="20"/>
        </w:rPr>
        <w:t>only</w:t>
      </w:r>
      <w:proofErr w:type="gramEnd"/>
      <w:r w:rsidRPr="00575AEF">
        <w:rPr>
          <w:bCs/>
          <w:szCs w:val="20"/>
        </w:rPr>
        <w:t xml:space="preserve"> the +/-5V supply needs to be added and the </w:t>
      </w:r>
      <w:proofErr w:type="spellStart"/>
      <w:r w:rsidRPr="00575AEF">
        <w:rPr>
          <w:bCs/>
          <w:szCs w:val="20"/>
        </w:rPr>
        <w:t>pinout</w:t>
      </w:r>
      <w:proofErr w:type="spellEnd"/>
      <w:r w:rsidRPr="00575AEF">
        <w:rPr>
          <w:bCs/>
          <w:szCs w:val="20"/>
        </w:rPr>
        <w:t xml:space="preserve"> </w:t>
      </w:r>
      <w:r>
        <w:rPr>
          <w:bCs/>
          <w:szCs w:val="20"/>
        </w:rPr>
        <w:t xml:space="preserve"> </w:t>
      </w:r>
      <w:r w:rsidRPr="00575AEF">
        <w:rPr>
          <w:bCs/>
          <w:szCs w:val="20"/>
        </w:rPr>
        <w:t xml:space="preserve">and connections of the main FPGA need to be defined. </w:t>
      </w:r>
    </w:p>
    <w:p w:rsidR="00575AEF" w:rsidRPr="00575AEF" w:rsidRDefault="005431B0" w:rsidP="00575AEF">
      <w:pPr>
        <w:rPr>
          <w:bCs/>
          <w:szCs w:val="20"/>
        </w:rPr>
      </w:pPr>
      <w:r>
        <w:rPr>
          <w:bCs/>
          <w:szCs w:val="20"/>
        </w:rPr>
        <w:t>The +/-5V supply can be a slightly modified</w:t>
      </w:r>
      <w:r w:rsidR="00B2618A">
        <w:rPr>
          <w:bCs/>
          <w:szCs w:val="20"/>
        </w:rPr>
        <w:t xml:space="preserve"> copy of </w:t>
      </w:r>
      <w:r>
        <w:rPr>
          <w:bCs/>
          <w:szCs w:val="20"/>
        </w:rPr>
        <w:t>an existing</w:t>
      </w:r>
      <w:r w:rsidR="00575AEF" w:rsidRPr="00575AEF">
        <w:rPr>
          <w:bCs/>
          <w:szCs w:val="20"/>
        </w:rPr>
        <w:t xml:space="preserve"> design. It is expected that these designs can</w:t>
      </w:r>
      <w:r w:rsidR="00B2618A">
        <w:rPr>
          <w:bCs/>
          <w:szCs w:val="20"/>
        </w:rPr>
        <w:t xml:space="preserve"> </w:t>
      </w:r>
      <w:r w:rsidR="00575AEF" w:rsidRPr="00575AEF">
        <w:rPr>
          <w:bCs/>
          <w:szCs w:val="20"/>
        </w:rPr>
        <w:t xml:space="preserve">go into production soon enough in January 2011 </w:t>
      </w:r>
      <w:proofErr w:type="gramStart"/>
      <w:r w:rsidR="00575AEF" w:rsidRPr="00575AEF">
        <w:rPr>
          <w:bCs/>
          <w:szCs w:val="20"/>
        </w:rPr>
        <w:t xml:space="preserve">to </w:t>
      </w:r>
      <w:r w:rsidR="00B2618A">
        <w:rPr>
          <w:bCs/>
          <w:szCs w:val="20"/>
        </w:rPr>
        <w:t xml:space="preserve"> </w:t>
      </w:r>
      <w:r w:rsidR="00575AEF" w:rsidRPr="00575AEF">
        <w:rPr>
          <w:bCs/>
          <w:szCs w:val="20"/>
        </w:rPr>
        <w:t>get</w:t>
      </w:r>
      <w:proofErr w:type="gramEnd"/>
      <w:r w:rsidR="00575AEF" w:rsidRPr="00575AEF">
        <w:rPr>
          <w:bCs/>
          <w:szCs w:val="20"/>
        </w:rPr>
        <w:t xml:space="preserve"> the boards back for testing by the end of January  or the begin of February.</w:t>
      </w:r>
    </w:p>
    <w:p w:rsidR="00575AEF" w:rsidRPr="00575AEF" w:rsidRDefault="00575AEF" w:rsidP="00CB0661">
      <w:pPr>
        <w:rPr>
          <w:bCs/>
          <w:szCs w:val="20"/>
        </w:rPr>
      </w:pPr>
    </w:p>
    <w:p w:rsidR="00316D06" w:rsidRDefault="00316D06" w:rsidP="00CB0661">
      <w:pPr>
        <w:rPr>
          <w:bCs/>
          <w:szCs w:val="20"/>
          <w:u w:val="single"/>
        </w:rPr>
      </w:pPr>
    </w:p>
    <w:p w:rsidR="00B444DB" w:rsidRPr="00316D06" w:rsidRDefault="00B444DB" w:rsidP="00CB0661">
      <w:pPr>
        <w:rPr>
          <w:bCs/>
          <w:szCs w:val="20"/>
          <w:u w:val="single"/>
        </w:rPr>
      </w:pPr>
    </w:p>
    <w:p w:rsidR="00B444DB" w:rsidRDefault="00B444DB" w:rsidP="00CB0661">
      <w:pPr>
        <w:rPr>
          <w:b/>
          <w:bCs/>
          <w:szCs w:val="20"/>
        </w:rPr>
      </w:pPr>
    </w:p>
    <w:p w:rsidR="00B444DB" w:rsidRDefault="00B444DB" w:rsidP="00CB0661">
      <w:pPr>
        <w:rPr>
          <w:b/>
          <w:bCs/>
          <w:szCs w:val="20"/>
        </w:rPr>
      </w:pPr>
      <w:r>
        <w:rPr>
          <w:b/>
          <w:bCs/>
          <w:szCs w:val="20"/>
        </w:rPr>
        <w:t>WBS 1.4 SSD detector</w:t>
      </w:r>
    </w:p>
    <w:p w:rsidR="003C7C60" w:rsidRDefault="003C7C60" w:rsidP="00CB0661">
      <w:pPr>
        <w:rPr>
          <w:b/>
          <w:bCs/>
          <w:szCs w:val="20"/>
        </w:rPr>
      </w:pPr>
    </w:p>
    <w:p w:rsidR="003C7C60" w:rsidRPr="005431B0" w:rsidRDefault="003C7C60" w:rsidP="003C7C60">
      <w:pPr>
        <w:rPr>
          <w:u w:val="single"/>
        </w:rPr>
      </w:pPr>
      <w:r w:rsidRPr="005431B0">
        <w:rPr>
          <w:u w:val="single"/>
        </w:rPr>
        <w:t>Ladder Board</w:t>
      </w:r>
    </w:p>
    <w:p w:rsidR="003C7C60" w:rsidRDefault="003C7C60" w:rsidP="003C7C60"/>
    <w:p w:rsidR="003C7C60" w:rsidRPr="00907175" w:rsidRDefault="003C7C60" w:rsidP="003C7C60">
      <w:r w:rsidRPr="00907175">
        <w:t xml:space="preserve">The prototype ladder card printed circuit board </w:t>
      </w:r>
      <w:proofErr w:type="gramStart"/>
      <w:r>
        <w:t xml:space="preserve">is scheduled to be </w:t>
      </w:r>
      <w:r w:rsidRPr="00907175">
        <w:t>shipped</w:t>
      </w:r>
      <w:proofErr w:type="gramEnd"/>
      <w:r w:rsidRPr="00907175">
        <w:t xml:space="preserve"> from the vendor on January 5.</w:t>
      </w:r>
      <w:r>
        <w:t xml:space="preserve">  This is a slight delay from last month’s report due to the holiday season.</w:t>
      </w:r>
    </w:p>
    <w:p w:rsidR="003C7C60" w:rsidRPr="00907175" w:rsidRDefault="003C7C60" w:rsidP="003C7C60"/>
    <w:p w:rsidR="003C7C60" w:rsidRPr="00907175" w:rsidRDefault="003C7C60" w:rsidP="003C7C60">
      <w:r w:rsidRPr="00907175">
        <w:t xml:space="preserve">The USB debug annex to the ladder card has been submitted </w:t>
      </w:r>
      <w:r>
        <w:t xml:space="preserve">to a vendor </w:t>
      </w:r>
      <w:r w:rsidRPr="00907175">
        <w:t>for fabricatio</w:t>
      </w:r>
      <w:r>
        <w:t xml:space="preserve">n. It provides the interface to </w:t>
      </w:r>
      <w:r w:rsidRPr="00907175">
        <w:t xml:space="preserve">USB and to a JTAG header; this card will be used to configure and to test the ladder card on the bench. </w:t>
      </w:r>
      <w:r>
        <w:t xml:space="preserve">  It should be ready when the components of the ladder board are installed.</w:t>
      </w:r>
    </w:p>
    <w:p w:rsidR="003C7C60" w:rsidRDefault="003C7C60" w:rsidP="003C7C60"/>
    <w:p w:rsidR="003C7C60" w:rsidRPr="005431B0" w:rsidRDefault="003C7C60" w:rsidP="003C7C60">
      <w:pPr>
        <w:rPr>
          <w:u w:val="single"/>
        </w:rPr>
      </w:pPr>
      <w:r w:rsidRPr="005431B0">
        <w:rPr>
          <w:u w:val="single"/>
        </w:rPr>
        <w:t>RDO Board</w:t>
      </w:r>
    </w:p>
    <w:p w:rsidR="003C7C60" w:rsidRDefault="003C7C60" w:rsidP="003C7C60"/>
    <w:p w:rsidR="003C7C60" w:rsidRDefault="003C7C60" w:rsidP="003C7C60">
      <w:r w:rsidRPr="00907175">
        <w:t>Work continues on the last remaining functional block of the RDO slave FPGA firmware: to implement a</w:t>
      </w:r>
      <w:r>
        <w:t xml:space="preserve"> </w:t>
      </w:r>
      <w:r w:rsidRPr="00907175">
        <w:t>firmware replacement for the integrated circuit (TI 74ACT8990) that was used in the previous implementation</w:t>
      </w:r>
      <w:r>
        <w:t xml:space="preserve"> </w:t>
      </w:r>
      <w:r w:rsidRPr="00907175">
        <w:t>to provide a link between Slow Controls software and the JTAG chain on the ladder. The implementation is</w:t>
      </w:r>
      <w:r>
        <w:t xml:space="preserve"> </w:t>
      </w:r>
      <w:r w:rsidRPr="00907175">
        <w:t>largely finished. Remaining is the more complicated verification that the firmware functions as required.</w:t>
      </w:r>
    </w:p>
    <w:p w:rsidR="003C7C60" w:rsidRDefault="003C7C60" w:rsidP="003C7C60"/>
    <w:p w:rsidR="003C7C60" w:rsidRPr="00907175" w:rsidRDefault="003C7C60" w:rsidP="003C7C60">
      <w:r w:rsidRPr="00907175">
        <w:t>No work has taken place on the TRG/DAQ and VME FPGA fir</w:t>
      </w:r>
      <w:r>
        <w:t>mware this month because manpower was used to work on the Ladder Board USB card.</w:t>
      </w:r>
    </w:p>
    <w:p w:rsidR="003C7C60" w:rsidRDefault="003C7C60" w:rsidP="003C7C60"/>
    <w:p w:rsidR="003C7C60" w:rsidRDefault="003C7C60" w:rsidP="003C7C60">
      <w:r w:rsidRPr="005431B0">
        <w:rPr>
          <w:u w:val="single"/>
        </w:rPr>
        <w:t>Project Manageme</w:t>
      </w:r>
      <w:r>
        <w:t>nt</w:t>
      </w:r>
    </w:p>
    <w:p w:rsidR="003C7C60" w:rsidRDefault="003C7C60" w:rsidP="003C7C60"/>
    <w:p w:rsidR="003C7C60" w:rsidRDefault="003C7C60" w:rsidP="003C7C60">
      <w:r>
        <w:t xml:space="preserve">Significant work was done on the cost and schedule worksheet.   Cost estimates and schedules were refined. </w:t>
      </w:r>
    </w:p>
    <w:p w:rsidR="00B444DB" w:rsidRDefault="00B444DB" w:rsidP="00CB0661">
      <w:pPr>
        <w:rPr>
          <w:b/>
          <w:bCs/>
          <w:szCs w:val="20"/>
        </w:rPr>
      </w:pPr>
    </w:p>
    <w:p w:rsidR="00B444DB" w:rsidRDefault="00B444DB" w:rsidP="00CB0661">
      <w:pPr>
        <w:rPr>
          <w:b/>
          <w:bCs/>
          <w:szCs w:val="20"/>
        </w:rPr>
      </w:pPr>
    </w:p>
    <w:p w:rsidR="00B444DB" w:rsidRDefault="00B444DB" w:rsidP="00CB0661">
      <w:pPr>
        <w:rPr>
          <w:b/>
          <w:bCs/>
          <w:szCs w:val="20"/>
        </w:rPr>
      </w:pPr>
      <w:r>
        <w:rPr>
          <w:b/>
          <w:bCs/>
          <w:szCs w:val="20"/>
        </w:rPr>
        <w:t>WBS 1.5 Integration</w:t>
      </w:r>
    </w:p>
    <w:p w:rsidR="005431B0" w:rsidRDefault="005431B0" w:rsidP="00CB0661">
      <w:pPr>
        <w:rPr>
          <w:b/>
          <w:bCs/>
          <w:szCs w:val="20"/>
        </w:rPr>
      </w:pPr>
    </w:p>
    <w:p w:rsidR="005431B0" w:rsidRDefault="005431B0" w:rsidP="00CB0661">
      <w:pPr>
        <w:rPr>
          <w:b/>
          <w:bCs/>
          <w:szCs w:val="20"/>
        </w:rPr>
      </w:pPr>
    </w:p>
    <w:p w:rsidR="005431B0" w:rsidRPr="005431B0" w:rsidRDefault="005431B0" w:rsidP="005431B0">
      <w:pPr>
        <w:rPr>
          <w:u w:val="single"/>
        </w:rPr>
      </w:pPr>
      <w:r w:rsidRPr="005431B0">
        <w:rPr>
          <w:u w:val="single"/>
        </w:rPr>
        <w:t>Global Structures</w:t>
      </w:r>
    </w:p>
    <w:p w:rsidR="005431B0" w:rsidRDefault="005431B0" w:rsidP="005431B0">
      <w:pPr>
        <w:rPr>
          <w:b/>
        </w:rPr>
      </w:pPr>
    </w:p>
    <w:p w:rsidR="005431B0" w:rsidRDefault="005431B0" w:rsidP="005431B0">
      <w:r>
        <w:t xml:space="preserve">Materials for the fabrication of the carbon fiber laminates of the IDS </w:t>
      </w:r>
      <w:proofErr w:type="gramStart"/>
      <w:r>
        <w:t>( WSC</w:t>
      </w:r>
      <w:proofErr w:type="gramEnd"/>
      <w:r>
        <w:t>, ESC, and OSC) were ordered. The mandrels for the ESC and the OSC were ordered.</w:t>
      </w:r>
    </w:p>
    <w:p w:rsidR="005431B0" w:rsidRDefault="005431B0" w:rsidP="005431B0"/>
    <w:p w:rsidR="005431B0" w:rsidRPr="005431B0" w:rsidRDefault="005431B0" w:rsidP="005431B0">
      <w:pPr>
        <w:rPr>
          <w:u w:val="single"/>
        </w:rPr>
      </w:pPr>
      <w:r w:rsidRPr="005431B0">
        <w:rPr>
          <w:u w:val="single"/>
        </w:rPr>
        <w:t>Cost and Schedule</w:t>
      </w:r>
    </w:p>
    <w:p w:rsidR="005431B0" w:rsidRDefault="005431B0" w:rsidP="005431B0">
      <w:pPr>
        <w:rPr>
          <w:b/>
        </w:rPr>
      </w:pPr>
    </w:p>
    <w:p w:rsidR="005431B0" w:rsidRDefault="005431B0" w:rsidP="005431B0">
      <w:r>
        <w:t>Efforts at BNL focused on defining the cost and schedule for supporting the assembly and installation of the HFT at STAR. Cost estimates for modifications of the “clean room” were produced as well as for the assembly where multiple detectors are assembled on the IDS. Initial schedule for installation of the prototype IDS with the FGT next summer were developed. Efforts for installation of electronics in racks on the south platform were made.</w:t>
      </w:r>
    </w:p>
    <w:p w:rsidR="005431B0" w:rsidRDefault="005431B0" w:rsidP="005431B0"/>
    <w:p w:rsidR="005431B0" w:rsidRPr="005431B0" w:rsidRDefault="005431B0" w:rsidP="005431B0">
      <w:pPr>
        <w:rPr>
          <w:u w:val="single"/>
        </w:rPr>
      </w:pPr>
      <w:r w:rsidRPr="005431B0">
        <w:rPr>
          <w:u w:val="single"/>
        </w:rPr>
        <w:t>Safety</w:t>
      </w:r>
    </w:p>
    <w:p w:rsidR="005431B0" w:rsidRDefault="005431B0" w:rsidP="005431B0">
      <w:pPr>
        <w:rPr>
          <w:b/>
        </w:rPr>
      </w:pPr>
    </w:p>
    <w:p w:rsidR="005431B0" w:rsidRPr="00DF0754" w:rsidRDefault="005431B0" w:rsidP="005431B0">
      <w:r>
        <w:t>The safety requirements for separating the shroud HV bias were discussed with the FGT group. The cable needs to be separated from other lower voltage cables in the tray. The cables for the PXL were reviewed and one cable was found not to be appropriate for tray. The PXL electronics manager selected another cable. Current limiting for the PXL lower voltage power cables was discussed. Either circuit breakers or fuses are allowed for the 6V DC cables. A C-AD supplemental guide on cables was distributed to the subsystem managers. The PXL connectivity document will be submitted to C-AD engineers for an initial review.</w:t>
      </w:r>
    </w:p>
    <w:p w:rsidR="005431B0" w:rsidRDefault="005431B0" w:rsidP="005431B0"/>
    <w:p w:rsidR="00B444DB" w:rsidRDefault="00B444DB" w:rsidP="00CB0661">
      <w:pPr>
        <w:rPr>
          <w:bCs/>
          <w:szCs w:val="20"/>
          <w:u w:val="single"/>
        </w:rPr>
      </w:pPr>
    </w:p>
    <w:p w:rsidR="00B444DB" w:rsidRDefault="00B444DB" w:rsidP="00CB0661">
      <w:pPr>
        <w:rPr>
          <w:bCs/>
          <w:szCs w:val="20"/>
          <w:u w:val="single"/>
        </w:rPr>
      </w:pPr>
    </w:p>
    <w:p w:rsidR="00B444DB" w:rsidRPr="00B444DB" w:rsidRDefault="00B444DB" w:rsidP="00CB0661">
      <w:pPr>
        <w:rPr>
          <w:b/>
          <w:bCs/>
          <w:szCs w:val="20"/>
        </w:rPr>
      </w:pPr>
      <w:r w:rsidRPr="00B444DB">
        <w:rPr>
          <w:b/>
          <w:bCs/>
          <w:szCs w:val="20"/>
        </w:rPr>
        <w:t>WBS 1.6 Software</w:t>
      </w:r>
    </w:p>
    <w:p w:rsidR="00B444DB" w:rsidRPr="00B444DB" w:rsidRDefault="00B444DB" w:rsidP="00CB0661">
      <w:pPr>
        <w:rPr>
          <w:b/>
          <w:bCs/>
          <w:szCs w:val="20"/>
          <w:u w:val="single"/>
        </w:rPr>
      </w:pPr>
    </w:p>
    <w:p w:rsidR="005431B0" w:rsidRDefault="005431B0" w:rsidP="005431B0">
      <w:pPr>
        <w:rPr>
          <w:rFonts w:ascii="Times New Roman" w:hAnsi="Times New Roman"/>
        </w:rPr>
      </w:pPr>
      <w:r w:rsidRPr="00283CDE">
        <w:rPr>
          <w:rFonts w:ascii="Times New Roman" w:hAnsi="Times New Roman"/>
        </w:rPr>
        <w:t xml:space="preserve">1) </w:t>
      </w:r>
      <w:r>
        <w:rPr>
          <w:rFonts w:ascii="Times New Roman" w:hAnsi="Times New Roman"/>
        </w:rPr>
        <w:t xml:space="preserve">A new simulation production (~10K events) was completed. Its focus was the enhancement of statistics for the Ds particles for pt higher than 4 </w:t>
      </w:r>
      <w:proofErr w:type="spellStart"/>
      <w:r>
        <w:rPr>
          <w:rFonts w:ascii="Times New Roman" w:hAnsi="Times New Roman"/>
        </w:rPr>
        <w:t>GeV</w:t>
      </w:r>
      <w:proofErr w:type="spellEnd"/>
      <w:r>
        <w:rPr>
          <w:rFonts w:ascii="Times New Roman" w:hAnsi="Times New Roman"/>
        </w:rPr>
        <w:t>/c and also the introduction of D*. This analysis of this latter one, and the anticipated HFT reconstruction capabilities, will complete the entire charm sector (with the only exception of prompt J/Psi reconstruction). First analysis results are expected by the end of January.</w:t>
      </w:r>
    </w:p>
    <w:p w:rsidR="005431B0" w:rsidRDefault="005431B0" w:rsidP="005431B0">
      <w:pPr>
        <w:rPr>
          <w:rFonts w:ascii="Times New Roman" w:hAnsi="Times New Roman"/>
        </w:rPr>
      </w:pPr>
    </w:p>
    <w:p w:rsidR="005431B0" w:rsidRDefault="005431B0" w:rsidP="005431B0">
      <w:pPr>
        <w:rPr>
          <w:rFonts w:ascii="Times New Roman" w:hAnsi="Times New Roman"/>
        </w:rPr>
      </w:pPr>
      <w:r>
        <w:rPr>
          <w:rFonts w:ascii="Times New Roman" w:hAnsi="Times New Roman"/>
        </w:rPr>
        <w:t>2) A first version of the Offline Software WBS schedule has been completed.</w:t>
      </w:r>
    </w:p>
    <w:p w:rsidR="005431B0" w:rsidRDefault="005431B0" w:rsidP="005431B0">
      <w:pPr>
        <w:rPr>
          <w:rFonts w:ascii="Times New Roman" w:hAnsi="Times New Roman"/>
        </w:rPr>
      </w:pPr>
    </w:p>
    <w:p w:rsidR="005431B0" w:rsidRDefault="005431B0" w:rsidP="005431B0">
      <w:pPr>
        <w:rPr>
          <w:rFonts w:ascii="Times New Roman" w:hAnsi="Times New Roman"/>
        </w:rPr>
      </w:pPr>
      <w:r>
        <w:rPr>
          <w:rFonts w:ascii="Times New Roman" w:hAnsi="Times New Roman"/>
        </w:rPr>
        <w:t>3) Some progress in the D+ reconstruction and analysis was reported.</w:t>
      </w:r>
    </w:p>
    <w:p w:rsidR="005431B0" w:rsidRDefault="005431B0" w:rsidP="00CB0661">
      <w:pPr>
        <w:rPr>
          <w:b/>
          <w:bCs/>
          <w:szCs w:val="20"/>
        </w:rPr>
      </w:pPr>
    </w:p>
    <w:p w:rsidR="00CB0661" w:rsidRPr="00B444DB" w:rsidRDefault="00CB0661" w:rsidP="00CB0661">
      <w:pPr>
        <w:rPr>
          <w:b/>
          <w:bCs/>
          <w:szCs w:val="20"/>
        </w:rPr>
      </w:pPr>
    </w:p>
    <w:p w:rsidR="00CB0661" w:rsidRDefault="00CB0661" w:rsidP="00CB0661">
      <w:pPr>
        <w:rPr>
          <w:b/>
          <w:bCs/>
          <w:sz w:val="28"/>
          <w:szCs w:val="20"/>
        </w:rPr>
      </w:pPr>
    </w:p>
    <w:p w:rsidR="007656A4" w:rsidRDefault="00316D06" w:rsidP="00CB0661">
      <w:pPr>
        <w:rPr>
          <w:b/>
          <w:bCs/>
          <w:sz w:val="28"/>
          <w:szCs w:val="20"/>
        </w:rPr>
      </w:pPr>
      <w:r w:rsidRPr="00316D06">
        <w:rPr>
          <w:b/>
          <w:bCs/>
          <w:sz w:val="28"/>
          <w:szCs w:val="20"/>
        </w:rPr>
        <w:t>Financial Status</w:t>
      </w:r>
    </w:p>
    <w:p w:rsidR="00316D06" w:rsidRDefault="00316D06" w:rsidP="00CB0661">
      <w:pPr>
        <w:rPr>
          <w:b/>
          <w:bCs/>
          <w:sz w:val="28"/>
          <w:szCs w:val="20"/>
        </w:rPr>
      </w:pPr>
    </w:p>
    <w:p w:rsidR="003C7C60" w:rsidRDefault="003C7C60" w:rsidP="003C7C60">
      <w:pPr>
        <w:rPr>
          <w:bCs/>
          <w:szCs w:val="20"/>
        </w:rPr>
      </w:pPr>
      <w:r>
        <w:rPr>
          <w:bCs/>
          <w:szCs w:val="20"/>
        </w:rPr>
        <w:t>Project funds have been received for initial efforts in the balance of FY10 through March of FY11</w:t>
      </w:r>
      <w:r w:rsidR="00F06970">
        <w:rPr>
          <w:bCs/>
          <w:szCs w:val="20"/>
        </w:rPr>
        <w:t xml:space="preserve"> at </w:t>
      </w:r>
      <w:proofErr w:type="spellStart"/>
      <w:r w:rsidR="00F06970">
        <w:rPr>
          <w:bCs/>
          <w:szCs w:val="20"/>
        </w:rPr>
        <w:t>LBNL</w:t>
      </w:r>
      <w:proofErr w:type="spellEnd"/>
      <w:r>
        <w:rPr>
          <w:bCs/>
          <w:szCs w:val="20"/>
        </w:rPr>
        <w:t>.</w:t>
      </w:r>
      <w:r w:rsidR="00F06970">
        <w:rPr>
          <w:bCs/>
          <w:szCs w:val="20"/>
        </w:rPr>
        <w:t xml:space="preserve"> The contract will have to be extended to cover the efforts from March and on in FY11.  The effort of identifying the task based on the updated WBS, and writing of the contract will be done during late January to ensure no delays in funding will </w:t>
      </w:r>
      <w:proofErr w:type="gramStart"/>
      <w:r w:rsidR="00F06970">
        <w:rPr>
          <w:bCs/>
          <w:szCs w:val="20"/>
        </w:rPr>
        <w:t>be  incurred</w:t>
      </w:r>
      <w:proofErr w:type="gramEnd"/>
      <w:r w:rsidR="00F06970" w:rsidRPr="007656A4">
        <w:rPr>
          <w:bCs/>
          <w:szCs w:val="20"/>
        </w:rPr>
        <w:t xml:space="preserve">. </w:t>
      </w:r>
      <w:r w:rsidRPr="007656A4">
        <w:rPr>
          <w:bCs/>
          <w:szCs w:val="20"/>
        </w:rPr>
        <w:t xml:space="preserve"> A draft SOW for the efforts at MIT is </w:t>
      </w:r>
      <w:r w:rsidR="007656A4">
        <w:rPr>
          <w:bCs/>
          <w:szCs w:val="20"/>
        </w:rPr>
        <w:t xml:space="preserve">being prepared and has been circulated between MIT and BNL </w:t>
      </w:r>
      <w:r>
        <w:rPr>
          <w:bCs/>
          <w:szCs w:val="20"/>
        </w:rPr>
        <w:t>The draft was completed, and is being revi</w:t>
      </w:r>
      <w:r w:rsidR="00B06B10">
        <w:rPr>
          <w:bCs/>
          <w:szCs w:val="20"/>
        </w:rPr>
        <w:t>e</w:t>
      </w:r>
      <w:r>
        <w:rPr>
          <w:bCs/>
          <w:szCs w:val="20"/>
        </w:rPr>
        <w:t xml:space="preserve">wed by BNL </w:t>
      </w:r>
      <w:r w:rsidR="004D23C3">
        <w:rPr>
          <w:bCs/>
          <w:szCs w:val="20"/>
        </w:rPr>
        <w:t>procurement to ensure that this can be dealt with as a multi-year contract with an initial installment of approximately 200k. It is important that this is treated as one over procurement to ensure BNL contract overhead is only applied on the first 600k$.</w:t>
      </w:r>
    </w:p>
    <w:p w:rsidR="003C7C60" w:rsidRDefault="003C7C60" w:rsidP="003C7C60">
      <w:pPr>
        <w:rPr>
          <w:bCs/>
          <w:szCs w:val="20"/>
        </w:rPr>
      </w:pPr>
    </w:p>
    <w:p w:rsidR="003C7C60" w:rsidRDefault="003C7C60" w:rsidP="003C7C60">
      <w:pPr>
        <w:rPr>
          <w:bCs/>
          <w:szCs w:val="20"/>
        </w:rPr>
      </w:pPr>
    </w:p>
    <w:p w:rsidR="003C7C60" w:rsidRPr="002739DE" w:rsidRDefault="003C7C60" w:rsidP="003C7C60">
      <w:pPr>
        <w:rPr>
          <w:bCs/>
          <w:szCs w:val="20"/>
        </w:rPr>
      </w:pPr>
      <w:r>
        <w:rPr>
          <w:bCs/>
          <w:szCs w:val="20"/>
        </w:rPr>
        <w:t>T</w:t>
      </w:r>
      <w:r w:rsidRPr="002739DE">
        <w:rPr>
          <w:bCs/>
          <w:szCs w:val="20"/>
        </w:rPr>
        <w:t>he distributions of cost at completion on other WBS items are</w:t>
      </w:r>
      <w:r>
        <w:rPr>
          <w:bCs/>
          <w:szCs w:val="20"/>
        </w:rPr>
        <w:t xml:space="preserve"> to be determined at base lining.</w:t>
      </w:r>
    </w:p>
    <w:p w:rsidR="003C7C60" w:rsidRDefault="003C7C60" w:rsidP="003C7C60">
      <w:pPr>
        <w:rPr>
          <w:b/>
          <w:bCs/>
          <w:sz w:val="28"/>
          <w:szCs w:val="20"/>
        </w:rPr>
      </w:pPr>
    </w:p>
    <w:p w:rsidR="003C7C60" w:rsidRDefault="003C7C60" w:rsidP="003C7C60">
      <w:pPr>
        <w:rPr>
          <w:b/>
          <w:bCs/>
          <w:sz w:val="28"/>
          <w:szCs w:val="20"/>
        </w:rPr>
      </w:pPr>
    </w:p>
    <w:tbl>
      <w:tblPr>
        <w:tblW w:w="9100" w:type="dxa"/>
        <w:tblInd w:w="88" w:type="dxa"/>
        <w:tblLook w:val="0000"/>
      </w:tblPr>
      <w:tblGrid>
        <w:gridCol w:w="912"/>
        <w:gridCol w:w="1515"/>
        <w:gridCol w:w="1118"/>
        <w:gridCol w:w="1023"/>
        <w:gridCol w:w="1130"/>
        <w:gridCol w:w="1778"/>
        <w:gridCol w:w="1624"/>
      </w:tblGrid>
      <w:tr w:rsidR="003C7C60" w:rsidRPr="006B3232">
        <w:trPr>
          <w:trHeight w:val="52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b/>
                <w:bCs/>
                <w:sz w:val="20"/>
                <w:szCs w:val="20"/>
              </w:rPr>
            </w:pPr>
            <w:r w:rsidRPr="006B3232">
              <w:rPr>
                <w:rFonts w:ascii="Verdana" w:hAnsi="Verdana"/>
                <w:b/>
                <w:bCs/>
                <w:sz w:val="20"/>
                <w:szCs w:val="20"/>
              </w:rPr>
              <w:t>WBS</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b/>
                <w:bCs/>
                <w:sz w:val="20"/>
                <w:szCs w:val="20"/>
              </w:rPr>
            </w:pPr>
            <w:r w:rsidRPr="006B3232">
              <w:rPr>
                <w:rFonts w:ascii="Verdana" w:hAnsi="Verdana"/>
                <w:b/>
                <w:bCs/>
                <w:sz w:val="20"/>
                <w:szCs w:val="20"/>
              </w:rPr>
              <w:t>Title</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3C7C60" w:rsidRPr="006B3232" w:rsidRDefault="003C7C60" w:rsidP="003C7C60">
            <w:pPr>
              <w:rPr>
                <w:rFonts w:ascii="Verdana" w:hAnsi="Verdana"/>
                <w:b/>
                <w:bCs/>
                <w:sz w:val="20"/>
                <w:szCs w:val="20"/>
              </w:rPr>
            </w:pPr>
            <w:r w:rsidRPr="006B3232">
              <w:rPr>
                <w:rFonts w:ascii="Verdana" w:hAnsi="Verdana"/>
                <w:b/>
                <w:bCs/>
                <w:sz w:val="20"/>
                <w:szCs w:val="20"/>
              </w:rPr>
              <w:t>Monthly Actual</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b/>
                <w:bCs/>
                <w:sz w:val="20"/>
                <w:szCs w:val="20"/>
              </w:rPr>
            </w:pPr>
            <w:r w:rsidRPr="006B3232">
              <w:rPr>
                <w:rFonts w:ascii="Verdana" w:hAnsi="Verdana"/>
                <w:b/>
                <w:bCs/>
                <w:sz w:val="20"/>
                <w:szCs w:val="20"/>
              </w:rPr>
              <w:t>FY to Date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3C7C60" w:rsidRDefault="003C7C60" w:rsidP="003C7C60">
            <w:pPr>
              <w:rPr>
                <w:rFonts w:ascii="Verdana" w:hAnsi="Verdana"/>
                <w:b/>
                <w:bCs/>
                <w:sz w:val="20"/>
                <w:szCs w:val="20"/>
              </w:rPr>
            </w:pPr>
            <w:r w:rsidRPr="006B3232">
              <w:rPr>
                <w:rFonts w:ascii="Verdana" w:hAnsi="Verdana"/>
                <w:b/>
                <w:bCs/>
                <w:sz w:val="20"/>
                <w:szCs w:val="20"/>
              </w:rPr>
              <w:t>Project to Date</w:t>
            </w:r>
          </w:p>
          <w:p w:rsidR="003C7C60" w:rsidRPr="006B3232" w:rsidRDefault="003C7C60" w:rsidP="003C7C60">
            <w:pPr>
              <w:rPr>
                <w:rFonts w:ascii="Verdana" w:hAnsi="Verdana"/>
                <w:b/>
                <w:bCs/>
                <w:sz w:val="20"/>
                <w:szCs w:val="20"/>
              </w:rPr>
            </w:pPr>
            <w:proofErr w:type="gramStart"/>
            <w:r>
              <w:rPr>
                <w:rFonts w:ascii="Verdana" w:hAnsi="Verdana"/>
                <w:b/>
                <w:bCs/>
                <w:sz w:val="20"/>
                <w:szCs w:val="20"/>
              </w:rPr>
              <w:t>k</w:t>
            </w:r>
            <w:proofErr w:type="gramEnd"/>
            <w:r>
              <w:rPr>
                <w:rFonts w:ascii="Verdana" w:hAnsi="Verdana"/>
                <w:b/>
                <w:bCs/>
                <w:sz w:val="20"/>
                <w:szCs w:val="20"/>
              </w:rPr>
              <w:t>$</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Default="003C7C60" w:rsidP="003C7C60">
            <w:pPr>
              <w:rPr>
                <w:rFonts w:ascii="Verdana" w:hAnsi="Verdana"/>
                <w:b/>
                <w:bCs/>
                <w:sz w:val="20"/>
                <w:szCs w:val="20"/>
              </w:rPr>
            </w:pPr>
            <w:r w:rsidRPr="006B3232">
              <w:rPr>
                <w:rFonts w:ascii="Verdana" w:hAnsi="Verdana"/>
                <w:b/>
                <w:bCs/>
                <w:sz w:val="20"/>
                <w:szCs w:val="20"/>
              </w:rPr>
              <w:t>Commitments</w:t>
            </w:r>
          </w:p>
          <w:p w:rsidR="003C7C60" w:rsidRPr="006B3232" w:rsidRDefault="003C7C60" w:rsidP="003C7C60">
            <w:pPr>
              <w:rPr>
                <w:rFonts w:ascii="Verdana" w:hAnsi="Verdana"/>
                <w:b/>
                <w:bCs/>
                <w:sz w:val="20"/>
                <w:szCs w:val="20"/>
              </w:rPr>
            </w:pPr>
            <w:r>
              <w:rPr>
                <w:rFonts w:ascii="Verdana" w:hAnsi="Verdana"/>
                <w:b/>
                <w:bCs/>
                <w:sz w:val="20"/>
                <w:szCs w:val="20"/>
              </w:rPr>
              <w:t>K$</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bottom"/>
          </w:tcPr>
          <w:p w:rsidR="003C7C60" w:rsidRDefault="003C7C60" w:rsidP="003C7C60">
            <w:pPr>
              <w:rPr>
                <w:rFonts w:ascii="Verdana" w:hAnsi="Verdana"/>
                <w:b/>
                <w:bCs/>
                <w:sz w:val="20"/>
                <w:szCs w:val="20"/>
              </w:rPr>
            </w:pPr>
            <w:r w:rsidRPr="006B3232">
              <w:rPr>
                <w:rFonts w:ascii="Verdana" w:hAnsi="Verdana"/>
                <w:b/>
                <w:bCs/>
                <w:sz w:val="20"/>
                <w:szCs w:val="20"/>
              </w:rPr>
              <w:t>Cost at Completion</w:t>
            </w:r>
          </w:p>
          <w:p w:rsidR="003C7C60" w:rsidRPr="006B3232" w:rsidRDefault="003C7C60" w:rsidP="003C7C60">
            <w:pPr>
              <w:rPr>
                <w:rFonts w:ascii="Verdana" w:hAnsi="Verdana"/>
                <w:b/>
                <w:bCs/>
                <w:sz w:val="20"/>
                <w:szCs w:val="20"/>
              </w:rPr>
            </w:pPr>
            <w:r>
              <w:rPr>
                <w:rFonts w:ascii="Verdana" w:hAnsi="Verdana"/>
                <w:b/>
                <w:bCs/>
                <w:sz w:val="20"/>
                <w:szCs w:val="20"/>
              </w:rPr>
              <w:t>K$</w:t>
            </w:r>
          </w:p>
        </w:tc>
      </w:tr>
      <w:tr w:rsidR="003C7C60"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r w:rsidRPr="006B3232">
              <w:rPr>
                <w:rFonts w:ascii="Verdana" w:hAnsi="Verdana"/>
                <w:sz w:val="20"/>
                <w:szCs w:val="20"/>
              </w:rPr>
              <w:t>1.1</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Management</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Pr>
                <w:rFonts w:ascii="Verdana" w:hAnsi="Verdana"/>
                <w:sz w:val="20"/>
                <w:szCs w:val="20"/>
              </w:rPr>
              <w:t>4.06</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Pr>
                <w:rFonts w:ascii="Verdana" w:hAnsi="Verdana"/>
                <w:sz w:val="20"/>
                <w:szCs w:val="20"/>
              </w:rPr>
              <w:t>13.97</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Pr>
                <w:rFonts w:ascii="Verdana" w:hAnsi="Verdana"/>
                <w:sz w:val="20"/>
                <w:szCs w:val="20"/>
              </w:rPr>
              <w:t>18.05</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p>
        </w:tc>
      </w:tr>
      <w:tr w:rsidR="003C7C60"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r w:rsidRPr="006B3232">
              <w:rPr>
                <w:rFonts w:ascii="Verdana" w:hAnsi="Verdana"/>
                <w:sz w:val="20"/>
                <w:szCs w:val="20"/>
              </w:rPr>
              <w:t>1.2</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PXL</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Pr>
                <w:rFonts w:ascii="Verdana" w:hAnsi="Verdana"/>
                <w:sz w:val="20"/>
                <w:szCs w:val="20"/>
              </w:rPr>
              <w:t>14.65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 </w:t>
            </w:r>
            <w:r>
              <w:rPr>
                <w:rFonts w:ascii="Verdana" w:hAnsi="Verdana"/>
                <w:sz w:val="20"/>
                <w:szCs w:val="20"/>
              </w:rPr>
              <w:t>63.84</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 </w:t>
            </w:r>
            <w:r>
              <w:rPr>
                <w:rFonts w:ascii="Verdana" w:hAnsi="Verdana"/>
                <w:sz w:val="20"/>
                <w:szCs w:val="20"/>
              </w:rPr>
              <w:t>71.21</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Pr>
                <w:rFonts w:ascii="Verdana" w:hAnsi="Verdana"/>
                <w:sz w:val="20"/>
                <w:szCs w:val="20"/>
              </w:rPr>
              <w:t>31.80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p>
        </w:tc>
      </w:tr>
      <w:tr w:rsidR="003C7C60"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r w:rsidRPr="006B3232">
              <w:rPr>
                <w:rFonts w:ascii="Verdana" w:hAnsi="Verdana"/>
                <w:sz w:val="20"/>
                <w:szCs w:val="20"/>
              </w:rPr>
              <w:t>1.3</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IST</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p>
        </w:tc>
      </w:tr>
      <w:tr w:rsidR="003C7C60"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r w:rsidRPr="006B3232">
              <w:rPr>
                <w:rFonts w:ascii="Verdana" w:hAnsi="Verdana"/>
                <w:sz w:val="20"/>
                <w:szCs w:val="20"/>
              </w:rPr>
              <w:t>1.4</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SSD</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p>
        </w:tc>
      </w:tr>
      <w:tr w:rsidR="003C7C60"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r>
              <w:rPr>
                <w:rFonts w:ascii="Verdana" w:hAnsi="Verdana"/>
                <w:sz w:val="20"/>
                <w:szCs w:val="20"/>
              </w:rPr>
              <w:t>1.5</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Pr>
                <w:rFonts w:ascii="Verdana" w:hAnsi="Verdana"/>
                <w:sz w:val="20"/>
                <w:szCs w:val="20"/>
              </w:rPr>
              <w:t>Integration</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Pr>
                <w:rFonts w:ascii="Verdana" w:hAnsi="Verdana"/>
                <w:sz w:val="20"/>
                <w:szCs w:val="20"/>
              </w:rPr>
              <w:t>16.28</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Pr>
                <w:rFonts w:ascii="Verdana" w:hAnsi="Verdana"/>
                <w:sz w:val="20"/>
                <w:szCs w:val="20"/>
              </w:rPr>
              <w:t>24.51</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Pr>
                <w:rFonts w:ascii="Verdana" w:hAnsi="Verdana"/>
                <w:sz w:val="20"/>
                <w:szCs w:val="20"/>
              </w:rPr>
              <w:t>31.78</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Pr>
                <w:rFonts w:ascii="Verdana" w:hAnsi="Verdana"/>
                <w:sz w:val="20"/>
                <w:szCs w:val="20"/>
              </w:rPr>
              <w:t>25.16</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p>
        </w:tc>
      </w:tr>
      <w:tr w:rsidR="003C7C60"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r>
              <w:rPr>
                <w:rFonts w:ascii="Verdana" w:hAnsi="Verdana"/>
                <w:sz w:val="20"/>
                <w:szCs w:val="20"/>
              </w:rPr>
              <w:t>1.6</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Software</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Pr>
                <w:rFonts w:ascii="Verdana" w:hAnsi="Verdana"/>
                <w:sz w:val="20"/>
                <w:szCs w:val="20"/>
              </w:rPr>
              <w:t>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r>
              <w:rPr>
                <w:rFonts w:ascii="Verdana" w:hAnsi="Verdana"/>
                <w:sz w:val="20"/>
                <w:szCs w:val="20"/>
              </w:rPr>
              <w:t>0</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Pr>
                <w:rFonts w:ascii="Verdana" w:hAnsi="Verdana"/>
                <w:sz w:val="20"/>
                <w:szCs w:val="20"/>
              </w:rPr>
              <w:t>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p>
        </w:tc>
      </w:tr>
      <w:tr w:rsidR="003C7C60"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 </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R&amp;D</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Pr>
                <w:rFonts w:ascii="Verdana" w:hAnsi="Verdana"/>
                <w:sz w:val="20"/>
                <w:szCs w:val="20"/>
              </w:rPr>
              <w:t>0.69</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Pr>
                <w:rFonts w:ascii="Verdana" w:hAnsi="Verdana"/>
                <w:sz w:val="20"/>
                <w:szCs w:val="20"/>
              </w:rPr>
              <w:t>12.07</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r>
              <w:rPr>
                <w:rFonts w:ascii="Verdana" w:hAnsi="Verdana"/>
                <w:sz w:val="20"/>
                <w:szCs w:val="20"/>
              </w:rPr>
              <w:t>271.88</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Pr>
                <w:rFonts w:ascii="Verdana" w:hAnsi="Verdana"/>
                <w:sz w:val="20"/>
                <w:szCs w:val="20"/>
              </w:rPr>
              <w:t>(14.39)</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r w:rsidRPr="006B3232">
              <w:rPr>
                <w:rFonts w:ascii="Verdana" w:hAnsi="Verdana"/>
                <w:sz w:val="20"/>
                <w:szCs w:val="20"/>
              </w:rPr>
              <w:t>280</w:t>
            </w:r>
          </w:p>
        </w:tc>
      </w:tr>
      <w:tr w:rsidR="003C7C60"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 </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Contingency</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r w:rsidRPr="006B3232">
              <w:rPr>
                <w:rFonts w:ascii="Verdana" w:hAnsi="Verdana"/>
                <w:sz w:val="20"/>
                <w:szCs w:val="20"/>
              </w:rPr>
              <w:t> </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r w:rsidRPr="006B3232">
              <w:rPr>
                <w:rFonts w:ascii="Verdana" w:hAnsi="Verdana"/>
                <w:sz w:val="20"/>
                <w:szCs w:val="20"/>
              </w:rPr>
              <w:t> </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r w:rsidRPr="006B3232">
              <w:rPr>
                <w:rFonts w:ascii="Verdana" w:hAnsi="Verdana"/>
                <w:sz w:val="20"/>
                <w:szCs w:val="20"/>
              </w:rPr>
              <w:t> </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r w:rsidRPr="006B3232">
              <w:rPr>
                <w:rFonts w:ascii="Verdana" w:hAnsi="Verdana"/>
                <w:sz w:val="20"/>
                <w:szCs w:val="20"/>
              </w:rPr>
              <w:t> </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 </w:t>
            </w:r>
          </w:p>
        </w:tc>
      </w:tr>
      <w:tr w:rsidR="003C7C60"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 </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Total</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r>
              <w:rPr>
                <w:rFonts w:ascii="Verdana" w:hAnsi="Verdana"/>
                <w:sz w:val="20"/>
                <w:szCs w:val="20"/>
              </w:rPr>
              <w:t>35.7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r>
              <w:rPr>
                <w:rFonts w:ascii="Verdana" w:hAnsi="Verdana"/>
                <w:sz w:val="20"/>
                <w:szCs w:val="20"/>
              </w:rPr>
              <w:t>114.4</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r>
              <w:rPr>
                <w:rFonts w:ascii="Verdana" w:hAnsi="Verdana"/>
                <w:sz w:val="20"/>
                <w:szCs w:val="20"/>
              </w:rPr>
              <w:t>392.92</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jc w:val="right"/>
              <w:rPr>
                <w:rFonts w:ascii="Verdana" w:hAnsi="Verdana"/>
                <w:sz w:val="20"/>
                <w:szCs w:val="20"/>
              </w:rPr>
            </w:pPr>
            <w:r>
              <w:rPr>
                <w:rFonts w:ascii="Verdana" w:hAnsi="Verdana"/>
                <w:sz w:val="20"/>
                <w:szCs w:val="20"/>
              </w:rPr>
              <w:t>42.57</w:t>
            </w:r>
            <w:bookmarkStart w:id="0" w:name="_GoBack"/>
            <w:bookmarkEnd w:id="0"/>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7C60" w:rsidRPr="006B3232" w:rsidRDefault="003C7C60" w:rsidP="003C7C60">
            <w:pPr>
              <w:rPr>
                <w:rFonts w:ascii="Verdana" w:hAnsi="Verdana"/>
                <w:sz w:val="20"/>
                <w:szCs w:val="20"/>
              </w:rPr>
            </w:pPr>
            <w:r w:rsidRPr="006B3232">
              <w:rPr>
                <w:rFonts w:ascii="Verdana" w:hAnsi="Verdana"/>
                <w:sz w:val="20"/>
                <w:szCs w:val="20"/>
              </w:rPr>
              <w:t> </w:t>
            </w:r>
          </w:p>
        </w:tc>
      </w:tr>
    </w:tbl>
    <w:p w:rsidR="003C7C60" w:rsidRDefault="003C7C60" w:rsidP="003C7C60"/>
    <w:p w:rsidR="003C7C60" w:rsidRPr="007656A4" w:rsidRDefault="007656A4" w:rsidP="00CB0661">
      <w:pPr>
        <w:rPr>
          <w:bCs/>
          <w:sz w:val="28"/>
          <w:szCs w:val="20"/>
        </w:rPr>
      </w:pPr>
      <w:r>
        <w:rPr>
          <w:bCs/>
          <w:sz w:val="28"/>
          <w:szCs w:val="20"/>
        </w:rPr>
        <w:t>In addition to these cost and commitments requisitions for about 85</w:t>
      </w:r>
      <w:r w:rsidR="007C4E4F">
        <w:rPr>
          <w:bCs/>
          <w:sz w:val="28"/>
          <w:szCs w:val="20"/>
        </w:rPr>
        <w:t xml:space="preserve"> k$ for PXL and integration </w:t>
      </w:r>
      <w:proofErr w:type="gramStart"/>
      <w:r w:rsidR="007C4E4F">
        <w:rPr>
          <w:bCs/>
          <w:sz w:val="28"/>
          <w:szCs w:val="20"/>
        </w:rPr>
        <w:t>Carbon-fiber</w:t>
      </w:r>
      <w:proofErr w:type="gramEnd"/>
      <w:r>
        <w:rPr>
          <w:bCs/>
          <w:sz w:val="28"/>
          <w:szCs w:val="20"/>
        </w:rPr>
        <w:t xml:space="preserve"> </w:t>
      </w:r>
      <w:r w:rsidR="007C4E4F">
        <w:rPr>
          <w:bCs/>
          <w:sz w:val="28"/>
          <w:szCs w:val="20"/>
        </w:rPr>
        <w:t>related procurements</w:t>
      </w:r>
      <w:r>
        <w:rPr>
          <w:bCs/>
          <w:sz w:val="28"/>
          <w:szCs w:val="20"/>
        </w:rPr>
        <w:t xml:space="preserve"> has been placed just before the December holidays.</w:t>
      </w:r>
    </w:p>
    <w:p w:rsidR="00CB0661" w:rsidRDefault="00CB0661" w:rsidP="00CB0661">
      <w:pPr>
        <w:rPr>
          <w:b/>
          <w:bCs/>
          <w:sz w:val="28"/>
          <w:szCs w:val="20"/>
        </w:rPr>
      </w:pPr>
    </w:p>
    <w:p w:rsidR="00CB0661" w:rsidRDefault="00CB0661" w:rsidP="00CB0661">
      <w:pPr>
        <w:rPr>
          <w:b/>
          <w:bCs/>
          <w:sz w:val="28"/>
          <w:szCs w:val="20"/>
        </w:rPr>
      </w:pPr>
    </w:p>
    <w:p w:rsidR="00CB0661" w:rsidRPr="006B3232" w:rsidRDefault="00CB0661" w:rsidP="00CB0661">
      <w:pPr>
        <w:rPr>
          <w:rFonts w:ascii="Verdana" w:hAnsi="Verdana"/>
          <w:sz w:val="20"/>
          <w:szCs w:val="20"/>
        </w:rPr>
      </w:pPr>
    </w:p>
    <w:p w:rsidR="00E9101E" w:rsidRDefault="00E9101E" w:rsidP="00CB0661">
      <w:pPr>
        <w:rPr>
          <w:b/>
          <w:bCs/>
          <w:sz w:val="28"/>
          <w:szCs w:val="20"/>
        </w:rPr>
      </w:pPr>
    </w:p>
    <w:p w:rsidR="00E9101E" w:rsidRDefault="00E9101E" w:rsidP="00CB0661">
      <w:pPr>
        <w:rPr>
          <w:b/>
          <w:bCs/>
          <w:sz w:val="28"/>
          <w:szCs w:val="20"/>
        </w:rPr>
      </w:pPr>
    </w:p>
    <w:p w:rsidR="00E9101E" w:rsidRDefault="00E9101E" w:rsidP="00CB0661">
      <w:pPr>
        <w:rPr>
          <w:b/>
          <w:bCs/>
          <w:sz w:val="28"/>
          <w:szCs w:val="20"/>
        </w:rPr>
      </w:pPr>
    </w:p>
    <w:p w:rsidR="00E9101E" w:rsidRDefault="00E9101E" w:rsidP="00CB0661">
      <w:pPr>
        <w:rPr>
          <w:b/>
          <w:bCs/>
          <w:sz w:val="28"/>
          <w:szCs w:val="20"/>
        </w:rPr>
      </w:pPr>
    </w:p>
    <w:p w:rsidR="002E1A68" w:rsidRDefault="002E1A68" w:rsidP="002E1A68">
      <w:pPr>
        <w:rPr>
          <w:b/>
          <w:bCs/>
          <w:sz w:val="28"/>
          <w:szCs w:val="20"/>
        </w:rPr>
      </w:pPr>
      <w:r>
        <w:rPr>
          <w:b/>
          <w:bCs/>
          <w:sz w:val="28"/>
          <w:szCs w:val="20"/>
        </w:rPr>
        <w:t>Acronyms</w:t>
      </w:r>
    </w:p>
    <w:p w:rsidR="002E1A68" w:rsidRDefault="002E1A68" w:rsidP="002E1A68">
      <w:pPr>
        <w:rPr>
          <w:b/>
          <w:bCs/>
          <w:sz w:val="28"/>
          <w:szCs w:val="20"/>
        </w:rPr>
      </w:pPr>
    </w:p>
    <w:p w:rsidR="002E1A68" w:rsidRDefault="002E1A68" w:rsidP="002E1A68">
      <w:pPr>
        <w:rPr>
          <w:bCs/>
          <w:sz w:val="28"/>
          <w:szCs w:val="20"/>
        </w:rPr>
      </w:pPr>
      <w:proofErr w:type="gramStart"/>
      <w:r>
        <w:rPr>
          <w:bCs/>
          <w:sz w:val="28"/>
          <w:szCs w:val="20"/>
        </w:rPr>
        <w:t>IST  Inner</w:t>
      </w:r>
      <w:proofErr w:type="gramEnd"/>
      <w:r>
        <w:rPr>
          <w:bCs/>
          <w:sz w:val="28"/>
          <w:szCs w:val="20"/>
        </w:rPr>
        <w:t xml:space="preserve"> Silicon Tracker</w:t>
      </w:r>
    </w:p>
    <w:p w:rsidR="002E1A68" w:rsidRDefault="002E1A68" w:rsidP="002E1A68">
      <w:pPr>
        <w:rPr>
          <w:bCs/>
          <w:sz w:val="28"/>
          <w:szCs w:val="20"/>
        </w:rPr>
      </w:pPr>
      <w:proofErr w:type="gramStart"/>
      <w:r>
        <w:rPr>
          <w:bCs/>
          <w:sz w:val="28"/>
          <w:szCs w:val="20"/>
        </w:rPr>
        <w:t>IDS  Inner</w:t>
      </w:r>
      <w:proofErr w:type="gramEnd"/>
      <w:r>
        <w:rPr>
          <w:bCs/>
          <w:sz w:val="28"/>
          <w:szCs w:val="20"/>
        </w:rPr>
        <w:t xml:space="preserve"> Detector Support </w:t>
      </w:r>
    </w:p>
    <w:p w:rsidR="002E1A68" w:rsidRDefault="002E1A68" w:rsidP="002E1A68">
      <w:pPr>
        <w:rPr>
          <w:bCs/>
          <w:sz w:val="28"/>
          <w:szCs w:val="20"/>
        </w:rPr>
      </w:pPr>
      <w:r>
        <w:rPr>
          <w:bCs/>
          <w:sz w:val="28"/>
          <w:szCs w:val="20"/>
        </w:rPr>
        <w:t>OFC Outer Field Cage</w:t>
      </w:r>
    </w:p>
    <w:p w:rsidR="002E1A68" w:rsidRDefault="002E1A68" w:rsidP="002E1A68">
      <w:pPr>
        <w:rPr>
          <w:bCs/>
          <w:sz w:val="28"/>
          <w:szCs w:val="20"/>
        </w:rPr>
      </w:pPr>
      <w:r>
        <w:rPr>
          <w:bCs/>
          <w:sz w:val="28"/>
          <w:szCs w:val="20"/>
        </w:rPr>
        <w:t>FPGA Field Programmable Arrays</w:t>
      </w:r>
    </w:p>
    <w:p w:rsidR="002E1A68" w:rsidRDefault="002E1A68" w:rsidP="002E1A68">
      <w:pPr>
        <w:rPr>
          <w:bCs/>
          <w:sz w:val="28"/>
          <w:szCs w:val="20"/>
        </w:rPr>
      </w:pPr>
      <w:r>
        <w:rPr>
          <w:bCs/>
          <w:sz w:val="28"/>
          <w:szCs w:val="20"/>
        </w:rPr>
        <w:t>WSC West Support Cylinder</w:t>
      </w:r>
    </w:p>
    <w:p w:rsidR="002E1A68" w:rsidRDefault="002E1A68" w:rsidP="002E1A68">
      <w:pPr>
        <w:rPr>
          <w:bCs/>
          <w:sz w:val="28"/>
          <w:szCs w:val="20"/>
        </w:rPr>
      </w:pPr>
      <w:r>
        <w:rPr>
          <w:bCs/>
          <w:sz w:val="28"/>
          <w:szCs w:val="20"/>
        </w:rPr>
        <w:t>ESC East Support Cylinder</w:t>
      </w:r>
    </w:p>
    <w:p w:rsidR="002E1A68" w:rsidRDefault="002E1A68" w:rsidP="002E1A68">
      <w:pPr>
        <w:rPr>
          <w:bCs/>
          <w:sz w:val="28"/>
          <w:szCs w:val="20"/>
        </w:rPr>
      </w:pPr>
      <w:r>
        <w:rPr>
          <w:bCs/>
          <w:sz w:val="28"/>
          <w:szCs w:val="20"/>
        </w:rPr>
        <w:t>OSC Outer Support Cylinder</w:t>
      </w:r>
    </w:p>
    <w:p w:rsidR="002E1A68" w:rsidRDefault="002E1A68" w:rsidP="002E1A68">
      <w:pPr>
        <w:rPr>
          <w:bCs/>
          <w:sz w:val="28"/>
          <w:szCs w:val="20"/>
        </w:rPr>
      </w:pPr>
      <w:r>
        <w:rPr>
          <w:bCs/>
          <w:sz w:val="28"/>
          <w:szCs w:val="20"/>
        </w:rPr>
        <w:t>FGT Forward GEM Tracker</w:t>
      </w:r>
    </w:p>
    <w:p w:rsidR="002E1A68" w:rsidRDefault="002E1A68" w:rsidP="002E1A68">
      <w:pPr>
        <w:rPr>
          <w:bCs/>
          <w:sz w:val="28"/>
          <w:szCs w:val="20"/>
        </w:rPr>
      </w:pPr>
      <w:r>
        <w:rPr>
          <w:bCs/>
          <w:sz w:val="28"/>
          <w:szCs w:val="20"/>
        </w:rPr>
        <w:t>MSC Middle Support Cylinder</w:t>
      </w:r>
    </w:p>
    <w:p w:rsidR="002E1A68" w:rsidRDefault="002E1A68" w:rsidP="002E1A68">
      <w:pPr>
        <w:rPr>
          <w:bCs/>
          <w:sz w:val="28"/>
          <w:szCs w:val="20"/>
        </w:rPr>
      </w:pPr>
    </w:p>
    <w:p w:rsidR="002E1A68" w:rsidRPr="00E9101E" w:rsidRDefault="002E1A68" w:rsidP="002E1A68">
      <w:pPr>
        <w:rPr>
          <w:bCs/>
          <w:sz w:val="28"/>
          <w:szCs w:val="20"/>
        </w:rPr>
      </w:pPr>
    </w:p>
    <w:p w:rsidR="00CB0661" w:rsidRDefault="00CB0661" w:rsidP="00CB0661">
      <w:pPr>
        <w:rPr>
          <w:b/>
          <w:bCs/>
          <w:sz w:val="28"/>
          <w:szCs w:val="20"/>
        </w:rPr>
      </w:pPr>
    </w:p>
    <w:p w:rsidR="00CB0661" w:rsidRDefault="00CB0661" w:rsidP="00CB0661">
      <w:pPr>
        <w:rPr>
          <w:b/>
          <w:bCs/>
          <w:sz w:val="28"/>
          <w:szCs w:val="20"/>
        </w:rPr>
      </w:pPr>
    </w:p>
    <w:p w:rsidR="00CB0661" w:rsidRDefault="00CB0661" w:rsidP="00CB0661">
      <w:pPr>
        <w:rPr>
          <w:b/>
          <w:bCs/>
          <w:sz w:val="28"/>
          <w:szCs w:val="20"/>
        </w:rPr>
      </w:pPr>
    </w:p>
    <w:p w:rsidR="00CB0661" w:rsidRDefault="00CB0661" w:rsidP="00CB0661">
      <w:pPr>
        <w:rPr>
          <w:b/>
          <w:bCs/>
          <w:sz w:val="28"/>
          <w:szCs w:val="20"/>
        </w:rPr>
      </w:pPr>
    </w:p>
    <w:p w:rsidR="00CB0661" w:rsidRDefault="00CB0661" w:rsidP="00CB0661">
      <w:pPr>
        <w:rPr>
          <w:b/>
          <w:bCs/>
          <w:sz w:val="28"/>
          <w:szCs w:val="20"/>
        </w:rPr>
      </w:pPr>
    </w:p>
    <w:p w:rsidR="00CA55AE" w:rsidRPr="00005C23" w:rsidRDefault="00CA55AE" w:rsidP="00CB0661">
      <w:pPr>
        <w:rPr>
          <w:sz w:val="28"/>
        </w:rPr>
      </w:pPr>
    </w:p>
    <w:sectPr w:rsidR="00CA55AE" w:rsidRPr="00005C23" w:rsidSect="00E7451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gutter="0"/>
      <w:printerSettings r:id="rId1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70" w:rsidRDefault="00F06970">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70" w:rsidRDefault="00F06970">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70" w:rsidRDefault="00F06970">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70" w:rsidRDefault="00F06970">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4144;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7f7f7f" stroked="f">
          <v:fill opacity="34734f"/>
          <v:textpath style="font-family:&quot;Cambria&quot;;font-size:1pt" string="DRAFT"/>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70" w:rsidRDefault="00F06970">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6192;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7f7f7f" stroked="f">
          <v:fill opacity="34734f"/>
          <v:textpath style="font-family:&quot;Cambria&quot;;font-size:1pt" string="DRAFT"/>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70" w:rsidRDefault="00F06970">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2096;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7f7f7f" stroked="f">
          <v:fill opacity="34734f"/>
          <v:textpath style="font-family:&quot;Cambria&quot;;font-size:1pt" string="DRAF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2"/>
    <o:shapelayout v:ext="edit">
      <o:idmap v:ext="edit" data="2"/>
    </o:shapelayout>
  </w:hdrShapeDefaults>
  <w:compat>
    <w:doNotAutofitConstrainedTables/>
    <w:splitPgBreakAndParaMark/>
    <w:doNotVertAlignCellWithSp/>
    <w:doNotBreakConstrainedForcedTable/>
    <w:useAnsiKerningPairs/>
    <w:cachedColBalance/>
  </w:compat>
  <w:rsids>
    <w:rsidRoot w:val="001560D5"/>
    <w:rsid w:val="00005C23"/>
    <w:rsid w:val="001560D5"/>
    <w:rsid w:val="00204A1B"/>
    <w:rsid w:val="00231B21"/>
    <w:rsid w:val="002E1A68"/>
    <w:rsid w:val="00316D06"/>
    <w:rsid w:val="003A2C36"/>
    <w:rsid w:val="003C7C60"/>
    <w:rsid w:val="004D23C3"/>
    <w:rsid w:val="004D7676"/>
    <w:rsid w:val="00542C26"/>
    <w:rsid w:val="005431B0"/>
    <w:rsid w:val="00575AEF"/>
    <w:rsid w:val="006B3232"/>
    <w:rsid w:val="00745246"/>
    <w:rsid w:val="007656A4"/>
    <w:rsid w:val="007C4E4F"/>
    <w:rsid w:val="00AD3853"/>
    <w:rsid w:val="00B06B10"/>
    <w:rsid w:val="00B07F60"/>
    <w:rsid w:val="00B2618A"/>
    <w:rsid w:val="00B444DB"/>
    <w:rsid w:val="00CA55AE"/>
    <w:rsid w:val="00CB0661"/>
    <w:rsid w:val="00D627A9"/>
    <w:rsid w:val="00D85D57"/>
    <w:rsid w:val="00D90AB5"/>
    <w:rsid w:val="00D95E37"/>
    <w:rsid w:val="00DF3C1E"/>
    <w:rsid w:val="00E74515"/>
    <w:rsid w:val="00E86C96"/>
    <w:rsid w:val="00E9101E"/>
    <w:rsid w:val="00EC5EE7"/>
    <w:rsid w:val="00F06970"/>
    <w:rsid w:val="00FC21A5"/>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E615C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D56573"/>
    <w:rPr>
      <w:rFonts w:ascii="Lucida Grande" w:hAnsi="Lucida Grande"/>
      <w:sz w:val="18"/>
      <w:szCs w:val="18"/>
    </w:rPr>
  </w:style>
  <w:style w:type="character" w:customStyle="1" w:styleId="BalloonTextChar">
    <w:name w:val="Balloon Text Char"/>
    <w:basedOn w:val="DefaultParagraphFont"/>
    <w:link w:val="BalloonText"/>
    <w:uiPriority w:val="99"/>
    <w:semiHidden/>
    <w:rsid w:val="00D56573"/>
    <w:rPr>
      <w:rFonts w:ascii="Lucida Grande" w:hAnsi="Lucida Grande"/>
      <w:sz w:val="18"/>
      <w:szCs w:val="18"/>
    </w:rPr>
  </w:style>
  <w:style w:type="table" w:styleId="TableGrid">
    <w:name w:val="Table Grid"/>
    <w:basedOn w:val="TableNormal"/>
    <w:uiPriority w:val="59"/>
    <w:rsid w:val="00CA55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05C23"/>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rsid w:val="003C7C60"/>
    <w:rPr>
      <w:sz w:val="18"/>
      <w:szCs w:val="18"/>
    </w:rPr>
  </w:style>
  <w:style w:type="paragraph" w:styleId="CommentText">
    <w:name w:val="annotation text"/>
    <w:basedOn w:val="Normal"/>
    <w:link w:val="CommentTextChar"/>
    <w:rsid w:val="003C7C60"/>
  </w:style>
  <w:style w:type="character" w:customStyle="1" w:styleId="CommentTextChar">
    <w:name w:val="Comment Text Char"/>
    <w:basedOn w:val="DefaultParagraphFont"/>
    <w:link w:val="CommentText"/>
    <w:rsid w:val="003C7C60"/>
  </w:style>
  <w:style w:type="character" w:styleId="Hyperlink">
    <w:name w:val="Hyperlink"/>
    <w:basedOn w:val="DefaultParagraphFont"/>
    <w:uiPriority w:val="99"/>
    <w:unhideWhenUsed/>
    <w:rsid w:val="003C7C60"/>
    <w:rPr>
      <w:color w:val="0000FF" w:themeColor="hyperlink"/>
      <w:u w:val="single"/>
    </w:rPr>
  </w:style>
  <w:style w:type="paragraph" w:styleId="Header">
    <w:name w:val="header"/>
    <w:basedOn w:val="Normal"/>
    <w:link w:val="HeaderChar"/>
    <w:rsid w:val="00E74515"/>
    <w:pPr>
      <w:tabs>
        <w:tab w:val="center" w:pos="4320"/>
        <w:tab w:val="right" w:pos="8640"/>
      </w:tabs>
    </w:pPr>
  </w:style>
  <w:style w:type="character" w:customStyle="1" w:styleId="HeaderChar">
    <w:name w:val="Header Char"/>
    <w:basedOn w:val="DefaultParagraphFont"/>
    <w:link w:val="Header"/>
    <w:rsid w:val="00E74515"/>
  </w:style>
  <w:style w:type="paragraph" w:styleId="Footer">
    <w:name w:val="footer"/>
    <w:basedOn w:val="Normal"/>
    <w:link w:val="FooterChar"/>
    <w:rsid w:val="00E74515"/>
    <w:pPr>
      <w:tabs>
        <w:tab w:val="center" w:pos="4320"/>
        <w:tab w:val="right" w:pos="8640"/>
      </w:tabs>
    </w:pPr>
  </w:style>
  <w:style w:type="character" w:customStyle="1" w:styleId="FooterChar">
    <w:name w:val="Footer Char"/>
    <w:basedOn w:val="DefaultParagraphFont"/>
    <w:link w:val="Footer"/>
    <w:rsid w:val="00E74515"/>
  </w:style>
</w:styles>
</file>

<file path=word/webSettings.xml><?xml version="1.0" encoding="utf-8"?>
<w:webSettings xmlns:r="http://schemas.openxmlformats.org/officeDocument/2006/relationships" xmlns:w="http://schemas.openxmlformats.org/wordprocessingml/2006/main">
  <w:divs>
    <w:div w:id="379746607">
      <w:bodyDiv w:val="1"/>
      <w:marLeft w:val="0"/>
      <w:marRight w:val="0"/>
      <w:marTop w:val="0"/>
      <w:marBottom w:val="0"/>
      <w:divBdr>
        <w:top w:val="none" w:sz="0" w:space="0" w:color="auto"/>
        <w:left w:val="none" w:sz="0" w:space="0" w:color="auto"/>
        <w:bottom w:val="none" w:sz="0" w:space="0" w:color="auto"/>
        <w:right w:val="none" w:sz="0" w:space="0" w:color="auto"/>
      </w:divBdr>
    </w:div>
    <w:div w:id="1471091254">
      <w:bodyDiv w:val="1"/>
      <w:marLeft w:val="0"/>
      <w:marRight w:val="0"/>
      <w:marTop w:val="0"/>
      <w:marBottom w:val="0"/>
      <w:divBdr>
        <w:top w:val="none" w:sz="0" w:space="0" w:color="auto"/>
        <w:left w:val="none" w:sz="0" w:space="0" w:color="auto"/>
        <w:bottom w:val="none" w:sz="0" w:space="0" w:color="auto"/>
        <w:right w:val="none" w:sz="0" w:space="0" w:color="auto"/>
      </w:divBdr>
    </w:div>
    <w:div w:id="15270599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printerSettings" Target="printerSettings/printerSettings1.bin"/><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png"/><Relationship Id="rId7" Type="http://schemas.openxmlformats.org/officeDocument/2006/relationships/hyperlink" Target="http://rnc.lbl.gov/hft/hardware/docs/sensor_review/"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1387</Words>
  <Characters>7911</Characters>
  <Application>Microsoft Macintosh Word</Application>
  <DocSecurity>0</DocSecurity>
  <Lines>65</Lines>
  <Paragraphs>15</Paragraphs>
  <ScaleCrop>false</ScaleCrop>
  <Company>BNL</Company>
  <LinksUpToDate>false</LinksUpToDate>
  <CharactersWithSpaces>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flemming videbaek</cp:lastModifiedBy>
  <cp:revision>4</cp:revision>
  <cp:lastPrinted>2011-01-17T16:40:00Z</cp:lastPrinted>
  <dcterms:created xsi:type="dcterms:W3CDTF">2011-01-17T15:11:00Z</dcterms:created>
  <dcterms:modified xsi:type="dcterms:W3CDTF">2011-01-17T21:50:00Z</dcterms:modified>
</cp:coreProperties>
</file>