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C5" w:rsidRDefault="000554C5" w:rsidP="000554C5"/>
    <w:p w:rsidR="00F371D2" w:rsidRPr="00D8368A" w:rsidRDefault="00F371D2" w:rsidP="00F371D2">
      <w:pPr>
        <w:jc w:val="center"/>
        <w:rPr>
          <w:b/>
          <w:sz w:val="36"/>
          <w:szCs w:val="36"/>
        </w:rPr>
      </w:pPr>
      <w:r w:rsidRPr="00D8368A">
        <w:rPr>
          <w:b/>
          <w:sz w:val="36"/>
          <w:szCs w:val="36"/>
        </w:rPr>
        <w:t>Critical Decision Summary Document</w:t>
      </w:r>
    </w:p>
    <w:p w:rsidR="00F371D2" w:rsidRPr="00F371D2" w:rsidRDefault="00F371D2" w:rsidP="00F371D2">
      <w:pPr>
        <w:jc w:val="center"/>
        <w:rPr>
          <w:b/>
          <w:sz w:val="36"/>
          <w:szCs w:val="36"/>
        </w:rPr>
      </w:pPr>
    </w:p>
    <w:tbl>
      <w:tblPr>
        <w:tblStyle w:val="TableGrid"/>
        <w:tblW w:w="10440" w:type="dxa"/>
        <w:tblInd w:w="-792" w:type="dxa"/>
        <w:tblBorders>
          <w:right w:val="none" w:sz="0" w:space="0" w:color="auto"/>
        </w:tblBorders>
        <w:tblLook w:val="01E0"/>
      </w:tblPr>
      <w:tblGrid>
        <w:gridCol w:w="1980"/>
        <w:gridCol w:w="3780"/>
        <w:gridCol w:w="900"/>
        <w:gridCol w:w="3780"/>
      </w:tblGrid>
      <w:tr w:rsidR="00F371D2">
        <w:tc>
          <w:tcPr>
            <w:tcW w:w="1980" w:type="dxa"/>
          </w:tcPr>
          <w:p w:rsidR="00F371D2" w:rsidRPr="00753FA1" w:rsidRDefault="00F371D2" w:rsidP="00F371D2">
            <w:pPr>
              <w:rPr>
                <w:b/>
              </w:rPr>
            </w:pPr>
            <w:r w:rsidRPr="00753FA1">
              <w:rPr>
                <w:b/>
              </w:rPr>
              <w:t>Site:</w:t>
            </w:r>
          </w:p>
        </w:tc>
        <w:tc>
          <w:tcPr>
            <w:tcW w:w="3780" w:type="dxa"/>
          </w:tcPr>
          <w:p w:rsidR="00F371D2" w:rsidRDefault="00671D3C" w:rsidP="00F371D2">
            <w:r>
              <w:t>Brookhaven National Laboratory</w:t>
            </w:r>
          </w:p>
        </w:tc>
        <w:tc>
          <w:tcPr>
            <w:tcW w:w="900" w:type="dxa"/>
            <w:vMerge w:val="restart"/>
          </w:tcPr>
          <w:p w:rsidR="00F371D2" w:rsidRPr="00753FA1" w:rsidRDefault="00F371D2" w:rsidP="00F371D2">
            <w:pPr>
              <w:rPr>
                <w:b/>
              </w:rPr>
            </w:pPr>
            <w:r w:rsidRPr="00753FA1">
              <w:rPr>
                <w:b/>
              </w:rPr>
              <w:t>FPD:</w:t>
            </w:r>
          </w:p>
        </w:tc>
        <w:tc>
          <w:tcPr>
            <w:tcW w:w="3780" w:type="dxa"/>
            <w:vMerge w:val="restart"/>
          </w:tcPr>
          <w:p w:rsidR="00F371D2" w:rsidRDefault="00F371D2" w:rsidP="00F371D2">
            <w:r>
              <w:t>name:</w:t>
            </w:r>
            <w:r w:rsidR="003F7E61">
              <w:t xml:space="preserve"> Lloyd Nelson</w:t>
            </w:r>
            <w:r w:rsidR="007429A0">
              <w:t xml:space="preserve"> </w:t>
            </w:r>
          </w:p>
          <w:p w:rsidR="00F371D2" w:rsidRDefault="00F371D2" w:rsidP="00F371D2">
            <w:r>
              <w:t>phone:</w:t>
            </w:r>
            <w:r w:rsidR="007429A0">
              <w:t xml:space="preserve"> </w:t>
            </w:r>
            <w:r w:rsidR="003F7E61">
              <w:t>631-344-5225</w:t>
            </w:r>
          </w:p>
          <w:p w:rsidR="00F371D2" w:rsidRDefault="00F371D2" w:rsidP="003F7E61">
            <w:r>
              <w:t xml:space="preserve">e-mail: </w:t>
            </w:r>
            <w:r w:rsidR="003F7E61">
              <w:t>lnelson@bnl.gov</w:t>
            </w:r>
          </w:p>
        </w:tc>
      </w:tr>
      <w:tr w:rsidR="00F371D2">
        <w:tc>
          <w:tcPr>
            <w:tcW w:w="1980" w:type="dxa"/>
          </w:tcPr>
          <w:p w:rsidR="00F371D2" w:rsidRPr="00753FA1" w:rsidRDefault="00F371D2" w:rsidP="000011C8">
            <w:pPr>
              <w:rPr>
                <w:b/>
              </w:rPr>
            </w:pPr>
            <w:r w:rsidRPr="00753FA1">
              <w:rPr>
                <w:b/>
              </w:rPr>
              <w:t>Project Title:</w:t>
            </w:r>
            <w:r w:rsidR="00671D3C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F371D2" w:rsidRDefault="000011C8" w:rsidP="00F371D2">
            <w:r>
              <w:rPr>
                <w:b/>
              </w:rPr>
              <w:t>Heavy Flavor Tracker MIE-01VB</w:t>
            </w:r>
          </w:p>
        </w:tc>
        <w:tc>
          <w:tcPr>
            <w:tcW w:w="900" w:type="dxa"/>
            <w:vMerge/>
          </w:tcPr>
          <w:p w:rsidR="00F371D2" w:rsidRPr="00753FA1" w:rsidRDefault="00F371D2" w:rsidP="00F371D2">
            <w:pPr>
              <w:rPr>
                <w:b/>
              </w:rPr>
            </w:pPr>
          </w:p>
        </w:tc>
        <w:tc>
          <w:tcPr>
            <w:tcW w:w="3780" w:type="dxa"/>
            <w:vMerge/>
          </w:tcPr>
          <w:p w:rsidR="00F371D2" w:rsidRDefault="00F371D2" w:rsidP="00F371D2"/>
        </w:tc>
      </w:tr>
      <w:tr w:rsidR="00F371D2">
        <w:tc>
          <w:tcPr>
            <w:tcW w:w="1980" w:type="dxa"/>
          </w:tcPr>
          <w:p w:rsidR="00F371D2" w:rsidRDefault="00F371D2" w:rsidP="000011C8">
            <w:pPr>
              <w:rPr>
                <w:b/>
              </w:rPr>
            </w:pPr>
            <w:r>
              <w:rPr>
                <w:b/>
              </w:rPr>
              <w:t>Near Term Total Project Cost</w:t>
            </w:r>
            <w:r w:rsidR="00671D3C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F371D2" w:rsidRDefault="000011C8" w:rsidP="00F371D2">
            <w:r>
              <w:rPr>
                <w:b/>
              </w:rPr>
              <w:t>$15.2M</w:t>
            </w:r>
          </w:p>
        </w:tc>
        <w:tc>
          <w:tcPr>
            <w:tcW w:w="900" w:type="dxa"/>
          </w:tcPr>
          <w:p w:rsidR="00F371D2" w:rsidRPr="00753FA1" w:rsidRDefault="00F371D2" w:rsidP="00F371D2">
            <w:pPr>
              <w:rPr>
                <w:b/>
              </w:rPr>
            </w:pPr>
            <w:r>
              <w:rPr>
                <w:b/>
              </w:rPr>
              <w:t>Life Cycle Cost</w:t>
            </w:r>
          </w:p>
        </w:tc>
        <w:tc>
          <w:tcPr>
            <w:tcW w:w="3780" w:type="dxa"/>
          </w:tcPr>
          <w:p w:rsidR="00F371D2" w:rsidRPr="00DB5772" w:rsidRDefault="00DB5772" w:rsidP="003F7E61">
            <w:pPr>
              <w:rPr>
                <w:b/>
              </w:rPr>
            </w:pPr>
            <w:r w:rsidRPr="00DB5772">
              <w:rPr>
                <w:b/>
              </w:rPr>
              <w:t>$17.8M</w:t>
            </w:r>
          </w:p>
        </w:tc>
      </w:tr>
    </w:tbl>
    <w:p w:rsidR="00F371D2" w:rsidRDefault="00F371D2" w:rsidP="00F371D2">
      <w:pPr>
        <w:jc w:val="center"/>
        <w:rPr>
          <w:b/>
          <w:sz w:val="32"/>
          <w:szCs w:val="32"/>
        </w:rPr>
      </w:pPr>
    </w:p>
    <w:p w:rsidR="00F371D2" w:rsidRDefault="00F371D2" w:rsidP="00F371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Site Level Funding Profile</w:t>
      </w:r>
    </w:p>
    <w:p w:rsidR="00F371D2" w:rsidRPr="00F371D2" w:rsidRDefault="00F371D2" w:rsidP="00F371D2">
      <w:pPr>
        <w:jc w:val="center"/>
        <w:rPr>
          <w:b/>
          <w:sz w:val="32"/>
          <w:szCs w:val="32"/>
        </w:rPr>
      </w:pPr>
    </w:p>
    <w:tbl>
      <w:tblPr>
        <w:tblW w:w="8616" w:type="dxa"/>
        <w:tblInd w:w="93" w:type="dxa"/>
        <w:tblLook w:val="0000"/>
      </w:tblPr>
      <w:tblGrid>
        <w:gridCol w:w="2440"/>
        <w:gridCol w:w="1060"/>
        <w:gridCol w:w="876"/>
        <w:gridCol w:w="1060"/>
        <w:gridCol w:w="1060"/>
        <w:gridCol w:w="1060"/>
        <w:gridCol w:w="1060"/>
      </w:tblGrid>
      <w:tr w:rsidR="00F371D2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371D2" w:rsidRDefault="00F371D2" w:rsidP="00F37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Scenario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371D2" w:rsidRDefault="00F371D2" w:rsidP="003F7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FY </w:t>
            </w:r>
            <w:r>
              <w:rPr>
                <w:b/>
                <w:bCs/>
              </w:rPr>
              <w:br/>
            </w:r>
            <w:r w:rsidR="003F7E61">
              <w:rPr>
                <w:b/>
                <w:bCs/>
              </w:rPr>
              <w:t>2009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71D2" w:rsidRPr="00CE0B3F" w:rsidRDefault="00F371D2" w:rsidP="003F7E61">
            <w:pPr>
              <w:jc w:val="center"/>
              <w:rPr>
                <w:b/>
                <w:bCs/>
              </w:rPr>
            </w:pPr>
            <w:r w:rsidRPr="00CE0B3F">
              <w:rPr>
                <w:b/>
                <w:bCs/>
              </w:rPr>
              <w:t>FY</w:t>
            </w:r>
            <w:r w:rsidRPr="00CE0B3F">
              <w:rPr>
                <w:b/>
                <w:bCs/>
              </w:rPr>
              <w:br/>
            </w:r>
            <w:r w:rsidR="003F7E61">
              <w:rPr>
                <w:b/>
                <w:bCs/>
              </w:rPr>
              <w:t>2010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371D2" w:rsidRDefault="00F371D2" w:rsidP="003F7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FY</w:t>
            </w:r>
            <w:r w:rsidR="003F7E61">
              <w:rPr>
                <w:b/>
                <w:bCs/>
              </w:rPr>
              <w:t xml:space="preserve"> 2011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371D2" w:rsidRDefault="00F371D2" w:rsidP="00F37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FY</w:t>
            </w:r>
          </w:p>
          <w:p w:rsidR="00F371D2" w:rsidRDefault="003F7E61" w:rsidP="00F37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371D2" w:rsidRDefault="00F371D2" w:rsidP="003F7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FY</w:t>
            </w:r>
            <w:r w:rsidR="003F7E61">
              <w:rPr>
                <w:b/>
                <w:bCs/>
              </w:rPr>
              <w:t xml:space="preserve"> 2013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371D2" w:rsidRDefault="00F371D2" w:rsidP="003F7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FY </w:t>
            </w:r>
            <w:r w:rsidR="003F7E61">
              <w:rPr>
                <w:b/>
                <w:bCs/>
              </w:rPr>
              <w:t>2014</w:t>
            </w:r>
          </w:p>
        </w:tc>
      </w:tr>
      <w:tr w:rsidR="00F371D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D2" w:rsidRDefault="00F371D2" w:rsidP="00F371D2"/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1D2" w:rsidRDefault="00F371D2" w:rsidP="00F371D2">
            <w:pPr>
              <w:jc w:val="right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1D2" w:rsidRPr="00CE0B3F" w:rsidRDefault="00DB5772" w:rsidP="00DB5772">
            <w:pPr>
              <w:jc w:val="center"/>
            </w:pPr>
            <w:r>
              <w:t>$3.0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1D2" w:rsidRDefault="00DB5772" w:rsidP="00DB5772">
            <w:pPr>
              <w:jc w:val="center"/>
            </w:pPr>
            <w:r>
              <w:t>$3.4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1D2" w:rsidRDefault="00DB5772" w:rsidP="00DB5772">
            <w:pPr>
              <w:jc w:val="center"/>
            </w:pPr>
            <w:r>
              <w:t>$5.2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1D2" w:rsidRDefault="00DB5772" w:rsidP="00DB5772">
            <w:pPr>
              <w:jc w:val="center"/>
            </w:pPr>
            <w:r>
              <w:t>$5.1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1D2" w:rsidRDefault="00DB5772" w:rsidP="00DB5772">
            <w:pPr>
              <w:jc w:val="center"/>
            </w:pPr>
            <w:r>
              <w:t>$1.1</w:t>
            </w:r>
          </w:p>
        </w:tc>
      </w:tr>
    </w:tbl>
    <w:p w:rsidR="00F371D2" w:rsidRDefault="00F371D2" w:rsidP="007429A0">
      <w:pPr>
        <w:rPr>
          <w:b/>
          <w:sz w:val="32"/>
          <w:szCs w:val="32"/>
        </w:rPr>
      </w:pPr>
    </w:p>
    <w:p w:rsidR="00F371D2" w:rsidRPr="00AC3324" w:rsidRDefault="00F371D2" w:rsidP="00F371D2">
      <w:pPr>
        <w:jc w:val="center"/>
        <w:rPr>
          <w:b/>
          <w:sz w:val="32"/>
          <w:szCs w:val="32"/>
        </w:rPr>
      </w:pPr>
      <w:r w:rsidRPr="00AC3324">
        <w:rPr>
          <w:b/>
          <w:sz w:val="32"/>
          <w:szCs w:val="32"/>
        </w:rPr>
        <w:t xml:space="preserve">Critical Decision </w:t>
      </w:r>
      <w:r>
        <w:rPr>
          <w:b/>
          <w:sz w:val="32"/>
          <w:szCs w:val="32"/>
        </w:rPr>
        <w:t>2/3</w:t>
      </w:r>
      <w:r w:rsidRPr="00AC3324">
        <w:rPr>
          <w:b/>
          <w:sz w:val="32"/>
          <w:szCs w:val="32"/>
        </w:rPr>
        <w:t xml:space="preserve"> – Approve </w:t>
      </w:r>
      <w:r>
        <w:rPr>
          <w:b/>
          <w:sz w:val="32"/>
          <w:szCs w:val="32"/>
        </w:rPr>
        <w:t>Performance Baseline</w:t>
      </w:r>
    </w:p>
    <w:p w:rsidR="00F371D2" w:rsidRPr="00F371D2" w:rsidRDefault="00F371D2" w:rsidP="00F371D2">
      <w:pPr>
        <w:jc w:val="center"/>
        <w:rPr>
          <w:b/>
          <w:sz w:val="32"/>
          <w:szCs w:val="32"/>
        </w:rPr>
      </w:pPr>
    </w:p>
    <w:tbl>
      <w:tblPr>
        <w:tblStyle w:val="TableGrid"/>
        <w:tblW w:w="10440" w:type="dxa"/>
        <w:tblInd w:w="-792" w:type="dxa"/>
        <w:tblLook w:val="01E0"/>
      </w:tblPr>
      <w:tblGrid>
        <w:gridCol w:w="1883"/>
        <w:gridCol w:w="3261"/>
        <w:gridCol w:w="5296"/>
      </w:tblGrid>
      <w:tr w:rsidR="00F371D2">
        <w:trPr>
          <w:cantSplit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371D2" w:rsidRDefault="00F371D2" w:rsidP="00F371D2">
            <w:pPr>
              <w:jc w:val="center"/>
            </w:pPr>
            <w:r>
              <w:t>CD-2/3 Approved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371D2" w:rsidRDefault="00CD7B6C" w:rsidP="00F371D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</w:p>
          <w:p w:rsidR="00F371D2" w:rsidRPr="00906EA2" w:rsidRDefault="00F371D2" w:rsidP="00F371D2">
            <w:pPr>
              <w:jc w:val="center"/>
              <w:rPr>
                <w:i/>
              </w:rPr>
            </w:pPr>
            <w:r w:rsidRPr="00906EA2">
              <w:rPr>
                <w:i/>
              </w:rPr>
              <w:t>Check only when CD-</w:t>
            </w:r>
            <w:r>
              <w:rPr>
                <w:i/>
              </w:rPr>
              <w:t>2/3</w:t>
            </w:r>
            <w:r w:rsidRPr="00906EA2">
              <w:rPr>
                <w:i/>
              </w:rPr>
              <w:t xml:space="preserve"> is approved.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:rsidR="00F371D2" w:rsidRDefault="00F371D2" w:rsidP="00F371D2">
            <w:pPr>
              <w:jc w:val="center"/>
              <w:rPr>
                <w:b/>
              </w:rPr>
            </w:pPr>
            <w:r w:rsidRPr="00062EDA">
              <w:rPr>
                <w:b/>
              </w:rPr>
              <w:t>Notes</w:t>
            </w:r>
          </w:p>
          <w:p w:rsidR="00FE630C" w:rsidRPr="00062EDA" w:rsidRDefault="00FE630C" w:rsidP="00FE630C">
            <w:pPr>
              <w:rPr>
                <w:b/>
              </w:rPr>
            </w:pPr>
            <w:r>
              <w:rPr>
                <w:b/>
              </w:rPr>
              <w:t>All requirements for CD 2/3 shall be in accordance with DOE Order 413.3B</w:t>
            </w:r>
          </w:p>
        </w:tc>
      </w:tr>
      <w:tr w:rsidR="00F371D2">
        <w:trPr>
          <w:cantSplit/>
        </w:trPr>
        <w:tc>
          <w:tcPr>
            <w:tcW w:w="5144" w:type="dxa"/>
            <w:gridSpan w:val="2"/>
            <w:tcBorders>
              <w:bottom w:val="single" w:sz="4" w:space="0" w:color="auto"/>
            </w:tcBorders>
          </w:tcPr>
          <w:p w:rsidR="00F371D2" w:rsidRPr="005B1D1B" w:rsidRDefault="00F371D2" w:rsidP="00F371D2">
            <w:pPr>
              <w:rPr>
                <w:b/>
                <w:sz w:val="28"/>
                <w:szCs w:val="28"/>
              </w:rPr>
            </w:pPr>
            <w:r w:rsidRPr="005B1D1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cquisition </w:t>
            </w:r>
            <w:r w:rsidRPr="005B1D1B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 xml:space="preserve">xecutive </w:t>
            </w:r>
            <w:r w:rsidRPr="005B1D1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uthority</w:t>
            </w:r>
          </w:p>
          <w:p w:rsidR="00F371D2" w:rsidRDefault="00F371D2" w:rsidP="00F371D2"/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Secretary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Under Secretary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Program Secretarial Officer</w:t>
            </w:r>
          </w:p>
          <w:p w:rsidR="00F371D2" w:rsidRDefault="00CD7B6C" w:rsidP="00F371D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 w:rsidRPr="00332043">
              <w:t xml:space="preserve">Program Manager/Field </w:t>
            </w:r>
            <w:r w:rsidR="00F371D2">
              <w:t>Manager (SES)</w:t>
            </w:r>
          </w:p>
          <w:p w:rsidR="00F371D2" w:rsidRDefault="00F371D2" w:rsidP="00F371D2">
            <w:pPr>
              <w:jc w:val="both"/>
            </w:pPr>
          </w:p>
          <w:p w:rsidR="00F371D2" w:rsidRPr="004021FD" w:rsidRDefault="00F371D2" w:rsidP="00F371D2">
            <w:r>
              <w:t xml:space="preserve">Date Received:  </w:t>
            </w:r>
            <w:r w:rsidR="00CD7B6C" w:rsidRPr="00F678E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78E9">
              <w:rPr>
                <w:u w:val="single"/>
              </w:rPr>
              <w:instrText xml:space="preserve"> FORMTEXT </w:instrText>
            </w:r>
            <w:r w:rsidR="00CD7B6C" w:rsidRPr="00F678E9">
              <w:rPr>
                <w:u w:val="single"/>
              </w:rPr>
            </w:r>
            <w:r w:rsidR="00CD7B6C" w:rsidRPr="00F678E9">
              <w:rPr>
                <w:u w:val="single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 w:rsidR="00CD7B6C" w:rsidRPr="00F678E9">
              <w:rPr>
                <w:u w:val="single"/>
              </w:rPr>
              <w:fldChar w:fldCharType="end"/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:rsidR="0029215A" w:rsidRDefault="00F371D2" w:rsidP="0029215A">
            <w:r>
              <w:t xml:space="preserve"> </w:t>
            </w:r>
            <w:r w:rsidR="000011C8">
              <w:t>Approval Authority:</w:t>
            </w:r>
          </w:p>
          <w:p w:rsidR="0029215A" w:rsidRDefault="0029215A" w:rsidP="0029215A">
            <w:r>
              <w:t>Gillo, Jehanne E. Director</w:t>
            </w:r>
          </w:p>
          <w:p w:rsidR="0029215A" w:rsidRDefault="0029215A" w:rsidP="0029215A">
            <w:r>
              <w:t xml:space="preserve">Phone: 301-903-1455 </w:t>
            </w:r>
            <w:r>
              <w:br/>
              <w:t xml:space="preserve">Route Symbol: SC-26.2 </w:t>
            </w:r>
            <w:r>
              <w:br/>
              <w:t xml:space="preserve">Building: GTN </w:t>
            </w:r>
            <w:r>
              <w:br/>
              <w:t xml:space="preserve">Location: GERMANTOWN MD </w:t>
            </w:r>
            <w:r>
              <w:br/>
              <w:t>Routing: SC-26.2</w:t>
            </w:r>
            <w:r>
              <w:br/>
              <w:t xml:space="preserve">Organization: Facilities and Project Management Division </w:t>
            </w:r>
            <w:r>
              <w:br/>
              <w:t xml:space="preserve">Office of Nuclear Physics, Office of Science </w:t>
            </w:r>
          </w:p>
          <w:p w:rsidR="0029215A" w:rsidRPr="007A3440" w:rsidRDefault="0029215A" w:rsidP="0029215A">
            <w:r>
              <w:t xml:space="preserve">Title: Director, Facility &amp; Project Management Division </w:t>
            </w:r>
            <w:r>
              <w:br/>
              <w:t xml:space="preserve">Internet Address: </w:t>
            </w:r>
            <w:hyperlink r:id="rId7" w:history="1">
              <w:r>
                <w:rPr>
                  <w:color w:val="0066CC"/>
                </w:rPr>
                <w:t>jehanne.simon-gillo@science.doe.gov</w:t>
              </w:r>
            </w:hyperlink>
          </w:p>
        </w:tc>
      </w:tr>
      <w:tr w:rsidR="00F371D2">
        <w:trPr>
          <w:cantSplit/>
        </w:trPr>
        <w:tc>
          <w:tcPr>
            <w:tcW w:w="5144" w:type="dxa"/>
            <w:gridSpan w:val="2"/>
            <w:tcBorders>
              <w:bottom w:val="single" w:sz="4" w:space="0" w:color="auto"/>
            </w:tcBorders>
          </w:tcPr>
          <w:p w:rsidR="00F371D2" w:rsidRDefault="00F371D2" w:rsidP="00F37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Critical Decision Approval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Secretary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Under Secretary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Program Secretarial Officer</w:t>
            </w:r>
          </w:p>
          <w:p w:rsidR="00F371D2" w:rsidRDefault="00CD7B6C" w:rsidP="00F371D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415F4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1415F4" w:rsidRPr="00332043">
              <w:t xml:space="preserve">Program Manager/Field </w:t>
            </w:r>
            <w:r w:rsidR="001415F4">
              <w:t>Manager (SES)</w:t>
            </w:r>
          </w:p>
          <w:p w:rsidR="00F371D2" w:rsidRDefault="00F371D2" w:rsidP="00F371D2">
            <w:pPr>
              <w:jc w:val="both"/>
            </w:pPr>
          </w:p>
          <w:p w:rsidR="00F371D2" w:rsidRPr="005B1D1B" w:rsidRDefault="00F371D2" w:rsidP="00F371D2">
            <w:pPr>
              <w:rPr>
                <w:b/>
                <w:sz w:val="28"/>
                <w:szCs w:val="28"/>
              </w:rPr>
            </w:pPr>
            <w:r>
              <w:t xml:space="preserve">Date Received:  </w:t>
            </w:r>
            <w:r w:rsidR="00CD7B6C" w:rsidRPr="00F678E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78E9">
              <w:rPr>
                <w:u w:val="single"/>
              </w:rPr>
              <w:instrText xml:space="preserve"> FORMTEXT </w:instrText>
            </w:r>
            <w:r w:rsidR="00CD7B6C" w:rsidRPr="00F678E9">
              <w:rPr>
                <w:u w:val="single"/>
              </w:rPr>
            </w:r>
            <w:r w:rsidR="00CD7B6C" w:rsidRPr="00F678E9">
              <w:rPr>
                <w:u w:val="single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u w:val="single"/>
              </w:rPr>
              <w:t> </w:t>
            </w:r>
            <w:r w:rsidR="00CD7B6C" w:rsidRPr="00F678E9">
              <w:rPr>
                <w:u w:val="single"/>
              </w:rPr>
              <w:fldChar w:fldCharType="end"/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:rsidR="001415F4" w:rsidRDefault="001415F4" w:rsidP="001415F4">
            <w:r>
              <w:t>Approval Authority:</w:t>
            </w:r>
          </w:p>
          <w:p w:rsidR="001415F4" w:rsidRDefault="001415F4" w:rsidP="001415F4">
            <w:r>
              <w:t>Jehanne Gillo, Director</w:t>
            </w:r>
          </w:p>
          <w:p w:rsidR="001415F4" w:rsidRDefault="001415F4" w:rsidP="001415F4">
            <w:r>
              <w:t>Facilities and Project Management Division</w:t>
            </w:r>
          </w:p>
          <w:p w:rsidR="00F371D2" w:rsidRDefault="001415F4" w:rsidP="001415F4">
            <w:r>
              <w:t>Office of Nuclear Physics, Office of Science</w:t>
            </w:r>
          </w:p>
        </w:tc>
      </w:tr>
      <w:tr w:rsidR="00F371D2" w:rsidRPr="00442EA6">
        <w:trPr>
          <w:cantSplit/>
          <w:trHeight w:val="374"/>
        </w:trPr>
        <w:tc>
          <w:tcPr>
            <w:tcW w:w="10440" w:type="dxa"/>
            <w:gridSpan w:val="3"/>
            <w:shd w:val="clear" w:color="auto" w:fill="C0C0C0"/>
            <w:vAlign w:val="center"/>
          </w:tcPr>
          <w:p w:rsidR="00F371D2" w:rsidRPr="00442EA6" w:rsidRDefault="00F371D2" w:rsidP="00F371D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CD – 2/3 </w:t>
            </w:r>
            <w:r w:rsidRPr="00442EA6">
              <w:rPr>
                <w:b/>
              </w:rPr>
              <w:t>REQUIREMENTS</w:t>
            </w: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 xml:space="preserve">Performance </w:t>
            </w:r>
          </w:p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Management Baseline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rPr>
                <w:i/>
              </w:rPr>
            </w:pPr>
          </w:p>
          <w:p w:rsidR="00F371D2" w:rsidRDefault="00F371D2" w:rsidP="00B0568B">
            <w:pPr>
              <w:jc w:val="center"/>
            </w:pPr>
            <w:r>
              <w:rPr>
                <w:i/>
              </w:rPr>
              <w:t>Date to Complete</w:t>
            </w:r>
            <w:r w:rsidR="0029215A">
              <w:rPr>
                <w:i/>
              </w:rPr>
              <w:t xml:space="preserve">: </w:t>
            </w:r>
          </w:p>
        </w:tc>
        <w:tc>
          <w:tcPr>
            <w:tcW w:w="5296" w:type="dxa"/>
            <w:shd w:val="clear" w:color="auto" w:fill="auto"/>
          </w:tcPr>
          <w:p w:rsidR="00F371D2" w:rsidRDefault="0029215A" w:rsidP="00F371D2">
            <w:r>
              <w:t xml:space="preserve">CD 2/3 ESAAB date is tentatively scheduled for March 31, 2011. All ESAAB Documents need to be submitted 2 weeks (March 17, 2011) prior to ESAAB. Final BNL review prior to submittal starts March 4. </w:t>
            </w:r>
            <w:r w:rsidR="00C84D85">
              <w:t>(Includes final Risk Management Plan)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Final Project Execution Plan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FE630C" w:rsidP="00F371D2">
            <w:r>
              <w:t>Final PEP shall be revised in accordance with recommended format from November 16 D. Lehman presentation.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Earned Value Management System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241236" w:rsidP="00241236">
            <w:r>
              <w:t>B</w:t>
            </w:r>
            <w:r w:rsidR="000011C8">
              <w:t>SA/BNL has a DOE approved EVMS</w:t>
            </w:r>
            <w:r>
              <w:t>.</w:t>
            </w:r>
            <w:r w:rsidR="000011C8">
              <w:t xml:space="preserve"> HFT is below $20M threshold </w:t>
            </w:r>
            <w:r>
              <w:t>requirement</w:t>
            </w:r>
            <w:r w:rsidR="000011C8">
              <w:t>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Performance Baseline Validation IPR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</w:tcPr>
          <w:p w:rsidR="00F371D2" w:rsidRDefault="000011C8" w:rsidP="000011C8">
            <w:r>
              <w:t xml:space="preserve">HFT is below $20M </w:t>
            </w:r>
            <w:r w:rsidR="00241236">
              <w:t>threshold requirement.</w:t>
            </w:r>
          </w:p>
        </w:tc>
      </w:tr>
      <w:tr w:rsidR="00F371D2">
        <w:trPr>
          <w:cantSplit/>
        </w:trPr>
        <w:tc>
          <w:tcPr>
            <w:tcW w:w="1883" w:type="dxa"/>
            <w:shd w:val="clear" w:color="auto" w:fill="E0E0E0"/>
            <w:vAlign w:val="center"/>
          </w:tcPr>
          <w:p w:rsidR="00F371D2" w:rsidRDefault="00F371D2" w:rsidP="00F371D2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E0E0E0"/>
            <w:vAlign w:val="center"/>
          </w:tcPr>
          <w:p w:rsidR="00F371D2" w:rsidRDefault="00F371D2" w:rsidP="00F371D2"/>
        </w:tc>
        <w:tc>
          <w:tcPr>
            <w:tcW w:w="5296" w:type="dxa"/>
            <w:shd w:val="clear" w:color="auto" w:fill="E0E0E0"/>
          </w:tcPr>
          <w:p w:rsidR="00F371D2" w:rsidRDefault="00F371D2" w:rsidP="00F371D2"/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Performance Baseline Validation EIR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</w:t>
            </w:r>
            <w:r w:rsidR="00A25792">
              <w:rPr>
                <w:i/>
              </w:rPr>
              <w:t xml:space="preserve"> </w:t>
            </w:r>
            <w:bookmarkStart w:id="0" w:name="Check1"/>
            <w:r w:rsidR="00A25792">
              <w:rPr>
                <w:i/>
              </w:rPr>
              <w:t xml:space="preserve">       </w:t>
            </w:r>
            <w:bookmarkEnd w:id="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0011C8" w:rsidP="00F371D2">
            <w:r>
              <w:t xml:space="preserve">HFT is below $20M </w:t>
            </w:r>
            <w:r w:rsidR="00241236">
              <w:t>threshold requirement.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Independent Cost Estimate or Review</w:t>
            </w:r>
          </w:p>
        </w:tc>
        <w:tc>
          <w:tcPr>
            <w:tcW w:w="3261" w:type="dxa"/>
            <w:vAlign w:val="center"/>
          </w:tcPr>
          <w:p w:rsidR="00F371D2" w:rsidRDefault="00CD7B6C" w:rsidP="00B0568B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E61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0011C8" w:rsidP="00F371D2">
            <w:r>
              <w:t xml:space="preserve">HFT is below $20M </w:t>
            </w:r>
            <w:r w:rsidR="00241236">
              <w:t>threshold requirement.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Quality Assurance Program</w:t>
            </w:r>
          </w:p>
        </w:tc>
        <w:tc>
          <w:tcPr>
            <w:tcW w:w="3261" w:type="dxa"/>
            <w:vAlign w:val="center"/>
          </w:tcPr>
          <w:p w:rsidR="00F371D2" w:rsidRDefault="00CD7B6C" w:rsidP="00B0568B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1C8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0011C8" w:rsidP="00CE60FA">
            <w:r>
              <w:t>BSA/BNL has a DOE approved QAP</w:t>
            </w:r>
            <w:r w:rsidR="00B45164">
              <w:t xml:space="preserve"> IAW DOE O 414.1C</w:t>
            </w:r>
            <w:r w:rsidR="00FE630C">
              <w:t xml:space="preserve">. </w:t>
            </w:r>
            <w:r w:rsidR="00CE60FA">
              <w:t xml:space="preserve">  Reference Memo stating QAP </w:t>
            </w:r>
            <w:proofErr w:type="spellStart"/>
            <w:r w:rsidR="00CE60FA">
              <w:t>iaw</w:t>
            </w:r>
            <w:proofErr w:type="spellEnd"/>
            <w:r w:rsidR="00CE60FA">
              <w:t xml:space="preserve"> with SBMS is added to HFT website.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Preliminary Design</w:t>
            </w:r>
          </w:p>
        </w:tc>
        <w:tc>
          <w:tcPr>
            <w:tcW w:w="3261" w:type="dxa"/>
            <w:vAlign w:val="center"/>
          </w:tcPr>
          <w:p w:rsidR="00F371D2" w:rsidRDefault="00CD7B6C" w:rsidP="00B0568B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E61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FE630C" w:rsidP="00CE60FA">
            <w:r>
              <w:t xml:space="preserve">Formal Design Review </w:t>
            </w:r>
            <w:r w:rsidR="00CE60FA">
              <w:t>supports performance baseline f</w:t>
            </w:r>
            <w:r>
              <w:t xml:space="preserve">or all subprojects and </w:t>
            </w:r>
            <w:r w:rsidR="00CE60FA">
              <w:t xml:space="preserve">is </w:t>
            </w:r>
            <w:r>
              <w:t>added to HFT website.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CE0B3F" w:rsidRDefault="00F371D2" w:rsidP="00F371D2">
            <w:pPr>
              <w:jc w:val="center"/>
              <w:rPr>
                <w:b/>
              </w:rPr>
            </w:pPr>
            <w:r w:rsidRPr="00CE0B3F">
              <w:rPr>
                <w:b/>
              </w:rPr>
              <w:t>Update Project Data Sheet</w:t>
            </w:r>
          </w:p>
        </w:tc>
        <w:tc>
          <w:tcPr>
            <w:tcW w:w="3261" w:type="dxa"/>
            <w:vAlign w:val="center"/>
          </w:tcPr>
          <w:p w:rsidR="00F371D2" w:rsidRPr="00CE0B3F" w:rsidRDefault="00CD7B6C" w:rsidP="00B0568B">
            <w:pPr>
              <w:rPr>
                <w:i/>
              </w:rPr>
            </w:pPr>
            <w:r w:rsidRPr="00CE0B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 w:rsidRPr="00CE0B3F">
              <w:instrText xml:space="preserve"> FORMCHECKBOX </w:instrText>
            </w:r>
            <w:r w:rsidRPr="00CE0B3F">
              <w:fldChar w:fldCharType="end"/>
            </w:r>
            <w:r w:rsidR="00F371D2" w:rsidRPr="00CE0B3F">
              <w:rPr>
                <w:i/>
              </w:rPr>
              <w:t xml:space="preserve"> Completed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45164">
              <w:instrText xml:space="preserve"> FORMCHECKBOX </w:instrText>
            </w:r>
            <w:r>
              <w:fldChar w:fldCharType="end"/>
            </w:r>
            <w:r w:rsidR="00F371D2" w:rsidRPr="00CE0B3F">
              <w:t xml:space="preserve">    </w:t>
            </w:r>
            <w:r w:rsidR="00F371D2" w:rsidRPr="00CE0B3F">
              <w:rPr>
                <w:i/>
              </w:rPr>
              <w:t>N/A</w:t>
            </w:r>
          </w:p>
          <w:p w:rsidR="00F371D2" w:rsidRPr="00CE0B3F" w:rsidRDefault="00F371D2" w:rsidP="00F371D2">
            <w:pPr>
              <w:jc w:val="center"/>
              <w:rPr>
                <w:i/>
              </w:rPr>
            </w:pPr>
          </w:p>
          <w:p w:rsidR="00F371D2" w:rsidRPr="00CE0B3F" w:rsidRDefault="00F371D2" w:rsidP="00F371D2">
            <w:pPr>
              <w:jc w:val="center"/>
            </w:pPr>
            <w:r w:rsidRPr="00CE0B3F">
              <w:rPr>
                <w:i/>
              </w:rPr>
              <w:t xml:space="preserve"> 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Pr="00380CA3" w:rsidRDefault="00B45164" w:rsidP="00B45164">
            <w:pPr>
              <w:rPr>
                <w:highlight w:val="yellow"/>
              </w:rPr>
            </w:pPr>
            <w:r w:rsidRPr="00B45164">
              <w:t>HFT is</w:t>
            </w:r>
            <w:r>
              <w:t xml:space="preserve"> </w:t>
            </w:r>
            <w:r w:rsidRPr="00B45164">
              <w:t>an MIE Project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Design Review</w:t>
            </w:r>
          </w:p>
        </w:tc>
        <w:tc>
          <w:tcPr>
            <w:tcW w:w="3261" w:type="dxa"/>
            <w:vAlign w:val="center"/>
          </w:tcPr>
          <w:p w:rsidR="00F371D2" w:rsidRDefault="00CD7B6C" w:rsidP="00446BCA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E61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B45164" w:rsidP="00F371D2">
            <w:r>
              <w:t>A design review was performed for the Conceptual Design Report. Additional reviews will be performed as part of CD-2/3.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0E16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Safety Design </w:t>
            </w:r>
            <w:r w:rsidR="000E166C">
              <w:rPr>
                <w:b/>
              </w:rPr>
              <w:t>Strategy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 w:rsidR="000E166C" w:rsidRPr="000E166C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E166C" w:rsidRPr="000E166C">
              <w:rPr>
                <w:i/>
              </w:rPr>
              <w:instrText xml:space="preserve"> FORMCHECKBOX </w:instrText>
            </w:r>
            <w:r w:rsidR="000E166C" w:rsidRPr="000E166C">
              <w:rPr>
                <w:i/>
              </w:rPr>
            </w:r>
            <w:r w:rsidR="000E166C" w:rsidRPr="000E166C">
              <w:rPr>
                <w:i/>
              </w:rP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0E166C" w:rsidP="000E166C">
            <w:r>
              <w:t xml:space="preserve">Not a </w:t>
            </w:r>
            <w:proofErr w:type="spellStart"/>
            <w:r>
              <w:t>HazCat</w:t>
            </w:r>
            <w:proofErr w:type="spellEnd"/>
            <w:r>
              <w:t xml:space="preserve"> 1, 2 or 3 nuclear facility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Hazard Analysis Report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E61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B0568B">
            <w:pPr>
              <w:jc w:val="center"/>
            </w:pPr>
            <w:r>
              <w:rPr>
                <w:i/>
              </w:rPr>
              <w:t xml:space="preserve"> 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0E166C" w:rsidP="000E166C">
            <w:r>
              <w:t xml:space="preserve">The final </w:t>
            </w:r>
            <w:r w:rsidR="00B45164">
              <w:t>H</w:t>
            </w:r>
            <w:r>
              <w:t xml:space="preserve">azard </w:t>
            </w:r>
            <w:r w:rsidR="00B45164">
              <w:t>A</w:t>
            </w:r>
            <w:r>
              <w:t>nalysis will completed at CD-4, however an updated Preliminary Hazard Analysis Report is required if any new or significant changes are applicable. If no changes a memo stating a review has been completed shall be sufficient</w:t>
            </w:r>
            <w:r w:rsidR="00CE60FA">
              <w:t xml:space="preserve"> and added to HFT website</w:t>
            </w:r>
            <w:r>
              <w:t>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Update Preliminary Security Vulnerability Assessment Report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45164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B45164" w:rsidP="00B45164">
            <w:r>
              <w:t>9/29/09 Report evaluated the HFT Project and determined no changes to the SVAR is required.</w:t>
            </w:r>
            <w:r w:rsidR="000E166C">
              <w:t xml:space="preserve"> If no changes a memo stating a review has been completed shall be sufficient</w:t>
            </w:r>
            <w:r w:rsidR="00FD4BD3">
              <w:t xml:space="preserve"> and added to website</w:t>
            </w:r>
            <w:r w:rsidR="000E166C">
              <w:t>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Preliminary Safety Validation Report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1A25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A07EEC" w:rsidP="00F371D2">
            <w:r>
              <w:t xml:space="preserve">Not </w:t>
            </w:r>
            <w:r w:rsidR="00B45164">
              <w:t xml:space="preserve">a </w:t>
            </w:r>
            <w:proofErr w:type="spellStart"/>
            <w:r>
              <w:t>HazCat</w:t>
            </w:r>
            <w:proofErr w:type="spellEnd"/>
            <w:r>
              <w:t xml:space="preserve"> 1, 2 or 3 nuclear facility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Preliminary Sustainable Environmental Stewardship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1A25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A07EEC" w:rsidP="00F371D2">
            <w:r>
              <w:t>No buildings/facilities involved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National Environmental Policy Act Documentation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E61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0E166C" w:rsidP="00B45164">
            <w:pPr>
              <w:jc w:val="center"/>
            </w:pPr>
            <w:r>
              <w:rPr>
                <w:i/>
              </w:rPr>
              <w:t>D</w:t>
            </w:r>
            <w:r w:rsidR="00F371D2">
              <w:rPr>
                <w:i/>
              </w:rPr>
              <w:t>ate to Complete</w:t>
            </w:r>
            <w:r w:rsidR="00517ABA">
              <w:rPr>
                <w:i/>
              </w:rPr>
              <w:t xml:space="preserve">: </w:t>
            </w:r>
          </w:p>
        </w:tc>
        <w:tc>
          <w:tcPr>
            <w:tcW w:w="5296" w:type="dxa"/>
            <w:shd w:val="clear" w:color="auto" w:fill="auto"/>
          </w:tcPr>
          <w:p w:rsidR="00F371D2" w:rsidRDefault="00FD4BD3" w:rsidP="00FD4BD3">
            <w:r>
              <w:t>A</w:t>
            </w:r>
            <w:r w:rsidR="00226327">
              <w:t xml:space="preserve"> copy of all NEPA documentation</w:t>
            </w:r>
            <w:r>
              <w:t xml:space="preserve"> is added</w:t>
            </w:r>
            <w:r w:rsidR="00FE630C">
              <w:t xml:space="preserve"> </w:t>
            </w:r>
            <w:r>
              <w:t>t</w:t>
            </w:r>
            <w:r w:rsidR="00FE630C">
              <w:t>o HFT website</w:t>
            </w:r>
            <w:r w:rsidR="00226327">
              <w:t xml:space="preserve">. 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Preliminary Documented Safety Analysis Report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1A25">
              <w:instrText xml:space="preserve"> FORMCHECKBOX </w:instrText>
            </w:r>
            <w:r>
              <w:fldChar w:fldCharType="end"/>
            </w:r>
            <w:r w:rsidR="00F371D2">
              <w:t xml:space="preserve"> 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380CA3" w:rsidP="00F371D2">
            <w:r>
              <w:t xml:space="preserve">Not </w:t>
            </w:r>
            <w:r w:rsidR="00B45164">
              <w:t xml:space="preserve"> a </w:t>
            </w:r>
            <w:proofErr w:type="spellStart"/>
            <w:r>
              <w:t>HazCat</w:t>
            </w:r>
            <w:proofErr w:type="spellEnd"/>
            <w:r>
              <w:t xml:space="preserve"> 1, 2 or 3 nuclear facility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Safety Evaluation Report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1A25">
              <w:instrText xml:space="preserve"> FORMCHECKBOX </w:instrText>
            </w:r>
            <w:r>
              <w:fldChar w:fldCharType="end"/>
            </w:r>
            <w:r w:rsidR="00F371D2">
              <w:t xml:space="preserve">  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>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380CA3" w:rsidP="00F371D2">
            <w:r>
              <w:t xml:space="preserve">Not </w:t>
            </w:r>
            <w:r w:rsidR="00B45164">
              <w:t xml:space="preserve">a </w:t>
            </w:r>
            <w:proofErr w:type="spellStart"/>
            <w:r>
              <w:t>HazCat</w:t>
            </w:r>
            <w:proofErr w:type="spellEnd"/>
            <w:r>
              <w:t xml:space="preserve"> 1, 2 or 3 nuclear facility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  <w:tr w:rsidR="00F371D2">
        <w:trPr>
          <w:cantSplit/>
        </w:trPr>
        <w:tc>
          <w:tcPr>
            <w:tcW w:w="1883" w:type="dxa"/>
            <w:vAlign w:val="center"/>
          </w:tcPr>
          <w:p w:rsidR="00F371D2" w:rsidRPr="00371937" w:rsidRDefault="00F371D2" w:rsidP="00F371D2">
            <w:pPr>
              <w:jc w:val="center"/>
              <w:rPr>
                <w:b/>
              </w:rPr>
            </w:pPr>
            <w:r>
              <w:rPr>
                <w:b/>
              </w:rPr>
              <w:t>Construction Project Safety and Health Plan</w:t>
            </w:r>
          </w:p>
        </w:tc>
        <w:tc>
          <w:tcPr>
            <w:tcW w:w="3261" w:type="dxa"/>
            <w:vAlign w:val="center"/>
          </w:tcPr>
          <w:p w:rsidR="00F371D2" w:rsidRDefault="00CD7B6C" w:rsidP="00F371D2">
            <w:pPr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1D2">
              <w:instrText xml:space="preserve"> FORMCHECKBOX </w:instrText>
            </w:r>
            <w:r>
              <w:fldChar w:fldCharType="end"/>
            </w:r>
            <w:r w:rsidR="00F371D2" w:rsidRPr="00906EA2">
              <w:rPr>
                <w:i/>
              </w:rPr>
              <w:t xml:space="preserve"> </w:t>
            </w:r>
            <w:r w:rsidR="00F371D2">
              <w:rPr>
                <w:i/>
              </w:rPr>
              <w:t xml:space="preserve">Completed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80CA3">
              <w:instrText xml:space="preserve"> FORMCHECKBOX </w:instrText>
            </w:r>
            <w:r>
              <w:fldChar w:fldCharType="end"/>
            </w:r>
            <w:r w:rsidR="00F371D2">
              <w:t xml:space="preserve"> </w:t>
            </w:r>
            <w:r w:rsidR="00F371D2">
              <w:rPr>
                <w:i/>
              </w:rPr>
              <w:t>N/A</w:t>
            </w:r>
          </w:p>
          <w:p w:rsidR="00F371D2" w:rsidRDefault="00F371D2" w:rsidP="00F371D2">
            <w:pPr>
              <w:jc w:val="center"/>
              <w:rPr>
                <w:i/>
              </w:rPr>
            </w:pPr>
          </w:p>
          <w:p w:rsidR="00F371D2" w:rsidRDefault="00F371D2" w:rsidP="00F371D2">
            <w:pPr>
              <w:jc w:val="center"/>
            </w:pPr>
            <w:r>
              <w:rPr>
                <w:i/>
              </w:rPr>
              <w:t xml:space="preserve"> Date to Complete</w:t>
            </w:r>
          </w:p>
        </w:tc>
        <w:tc>
          <w:tcPr>
            <w:tcW w:w="5296" w:type="dxa"/>
            <w:shd w:val="clear" w:color="auto" w:fill="auto"/>
          </w:tcPr>
          <w:p w:rsidR="00F371D2" w:rsidRDefault="00B45164" w:rsidP="00FD4BD3">
            <w:r>
              <w:t xml:space="preserve"> </w:t>
            </w:r>
            <w:r w:rsidR="000071E8">
              <w:t>P</w:t>
            </w:r>
            <w:r w:rsidR="00FD4BD3">
              <w:t xml:space="preserve">roject </w:t>
            </w:r>
            <w:r w:rsidR="000071E8">
              <w:t>S</w:t>
            </w:r>
            <w:r w:rsidR="00FD4BD3">
              <w:t>afety Health Plan is submitted to DOE for approval.</w:t>
            </w:r>
          </w:p>
        </w:tc>
      </w:tr>
      <w:tr w:rsidR="00F371D2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:rsidR="00F371D2" w:rsidRDefault="00F371D2" w:rsidP="00F371D2">
            <w:pPr>
              <w:jc w:val="right"/>
            </w:pPr>
          </w:p>
        </w:tc>
      </w:tr>
    </w:tbl>
    <w:p w:rsidR="00F371D2" w:rsidRDefault="00F371D2" w:rsidP="00F371D2">
      <w:pPr>
        <w:jc w:val="center"/>
        <w:rPr>
          <w:b/>
          <w:sz w:val="32"/>
          <w:szCs w:val="32"/>
        </w:rPr>
      </w:pPr>
    </w:p>
    <w:p w:rsidR="00F371D2" w:rsidRPr="00F371D2" w:rsidRDefault="00F371D2" w:rsidP="00EF5684">
      <w:pPr>
        <w:rPr>
          <w:b/>
          <w:sz w:val="32"/>
          <w:szCs w:val="32"/>
        </w:rPr>
      </w:pPr>
    </w:p>
    <w:p w:rsidR="00F371D2" w:rsidRPr="00F371D2" w:rsidRDefault="00F371D2" w:rsidP="00F371D2">
      <w:pPr>
        <w:jc w:val="center"/>
        <w:rPr>
          <w:b/>
          <w:sz w:val="32"/>
          <w:szCs w:val="32"/>
        </w:rPr>
      </w:pPr>
    </w:p>
    <w:p w:rsidR="00F371D2" w:rsidRDefault="00F371D2" w:rsidP="00F371D2">
      <w:pPr>
        <w:jc w:val="center"/>
      </w:pPr>
    </w:p>
    <w:p w:rsidR="00F371D2" w:rsidRPr="004A5697" w:rsidRDefault="00F371D2" w:rsidP="00F371D2">
      <w:pPr>
        <w:jc w:val="center"/>
      </w:pPr>
    </w:p>
    <w:sectPr w:rsidR="00F371D2" w:rsidRPr="004A5697" w:rsidSect="0084778F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15" w:rsidRDefault="00BA5315">
      <w:r>
        <w:separator/>
      </w:r>
    </w:p>
  </w:endnote>
  <w:endnote w:type="continuationSeparator" w:id="0">
    <w:p w:rsidR="00BA5315" w:rsidRDefault="00BA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94" w:rsidRPr="00F371D2" w:rsidRDefault="00E65594" w:rsidP="00F371D2">
    <w:pPr>
      <w:pStyle w:val="Footer"/>
    </w:pPr>
    <w:r>
      <w:tab/>
      <w:t xml:space="preserve">- </w:t>
    </w:r>
    <w:fldSimple w:instr=" PAGE ">
      <w:r w:rsidR="00BC54A8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15" w:rsidRDefault="00BA5315">
      <w:r>
        <w:separator/>
      </w:r>
    </w:p>
  </w:footnote>
  <w:footnote w:type="continuationSeparator" w:id="0">
    <w:p w:rsidR="00BA5315" w:rsidRDefault="00BA5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485"/>
    <w:multiLevelType w:val="hybridMultilevel"/>
    <w:tmpl w:val="6BFAB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659E5"/>
    <w:multiLevelType w:val="hybridMultilevel"/>
    <w:tmpl w:val="997CB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4266A"/>
    <w:multiLevelType w:val="hybridMultilevel"/>
    <w:tmpl w:val="C8B43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D1FD5"/>
    <w:multiLevelType w:val="hybridMultilevel"/>
    <w:tmpl w:val="C3062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22954"/>
    <w:multiLevelType w:val="hybridMultilevel"/>
    <w:tmpl w:val="903E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67592"/>
    <w:multiLevelType w:val="hybridMultilevel"/>
    <w:tmpl w:val="6D9ED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07BE4"/>
    <w:multiLevelType w:val="multilevel"/>
    <w:tmpl w:val="9F3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ED7107"/>
    <w:multiLevelType w:val="hybridMultilevel"/>
    <w:tmpl w:val="B07C3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EA3A48"/>
    <w:multiLevelType w:val="hybridMultilevel"/>
    <w:tmpl w:val="5B5AFA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8E0E8D"/>
    <w:multiLevelType w:val="hybridMultilevel"/>
    <w:tmpl w:val="E9564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2D73CA"/>
    <w:multiLevelType w:val="hybridMultilevel"/>
    <w:tmpl w:val="E98E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4866AA"/>
    <w:multiLevelType w:val="hybridMultilevel"/>
    <w:tmpl w:val="9BC0C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3548E"/>
    <w:multiLevelType w:val="hybridMultilevel"/>
    <w:tmpl w:val="16286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0F5146"/>
    <w:multiLevelType w:val="hybridMultilevel"/>
    <w:tmpl w:val="54803F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90B0C"/>
    <w:multiLevelType w:val="hybridMultilevel"/>
    <w:tmpl w:val="1EB8C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4693D"/>
    <w:multiLevelType w:val="hybridMultilevel"/>
    <w:tmpl w:val="4DB46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E83C1C"/>
    <w:multiLevelType w:val="hybridMultilevel"/>
    <w:tmpl w:val="9F3AF018"/>
    <w:lvl w:ilvl="0" w:tplc="4EDE2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495CFB"/>
    <w:multiLevelType w:val="multilevel"/>
    <w:tmpl w:val="9F3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546EEE"/>
    <w:multiLevelType w:val="hybridMultilevel"/>
    <w:tmpl w:val="E12E3186"/>
    <w:lvl w:ilvl="0" w:tplc="0A20A79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113486"/>
    <w:multiLevelType w:val="hybridMultilevel"/>
    <w:tmpl w:val="535C7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240701"/>
    <w:multiLevelType w:val="hybridMultilevel"/>
    <w:tmpl w:val="5876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8DD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5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0"/>
  </w:num>
  <w:num w:numId="14">
    <w:abstractNumId w:val="16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8"/>
  </w:num>
  <w:num w:numId="20">
    <w:abstractNumId w:val="11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172F6"/>
    <w:rsid w:val="000011C8"/>
    <w:rsid w:val="00002234"/>
    <w:rsid w:val="00004995"/>
    <w:rsid w:val="000071E8"/>
    <w:rsid w:val="00012819"/>
    <w:rsid w:val="000179FA"/>
    <w:rsid w:val="00032094"/>
    <w:rsid w:val="00042C89"/>
    <w:rsid w:val="0004366F"/>
    <w:rsid w:val="00053830"/>
    <w:rsid w:val="00053F5C"/>
    <w:rsid w:val="000554C5"/>
    <w:rsid w:val="00056522"/>
    <w:rsid w:val="00074770"/>
    <w:rsid w:val="00083CA2"/>
    <w:rsid w:val="000912A5"/>
    <w:rsid w:val="00096A37"/>
    <w:rsid w:val="000A02D1"/>
    <w:rsid w:val="000A0367"/>
    <w:rsid w:val="000A3D67"/>
    <w:rsid w:val="000A7136"/>
    <w:rsid w:val="000C0624"/>
    <w:rsid w:val="000C76B2"/>
    <w:rsid w:val="000D2D0E"/>
    <w:rsid w:val="000D5C54"/>
    <w:rsid w:val="000E166C"/>
    <w:rsid w:val="000F14E0"/>
    <w:rsid w:val="000F28B5"/>
    <w:rsid w:val="000F3ADA"/>
    <w:rsid w:val="000F5532"/>
    <w:rsid w:val="000F6F9C"/>
    <w:rsid w:val="0012116F"/>
    <w:rsid w:val="00127A19"/>
    <w:rsid w:val="001304BA"/>
    <w:rsid w:val="001415F4"/>
    <w:rsid w:val="0014403B"/>
    <w:rsid w:val="00144458"/>
    <w:rsid w:val="0014627D"/>
    <w:rsid w:val="00153A52"/>
    <w:rsid w:val="00154C8D"/>
    <w:rsid w:val="0016221F"/>
    <w:rsid w:val="001627C9"/>
    <w:rsid w:val="0016351C"/>
    <w:rsid w:val="00166185"/>
    <w:rsid w:val="00174DB2"/>
    <w:rsid w:val="0017628C"/>
    <w:rsid w:val="00177687"/>
    <w:rsid w:val="00184D3C"/>
    <w:rsid w:val="00185618"/>
    <w:rsid w:val="00192983"/>
    <w:rsid w:val="00193FD9"/>
    <w:rsid w:val="001A0133"/>
    <w:rsid w:val="001A1E36"/>
    <w:rsid w:val="001A5888"/>
    <w:rsid w:val="001C3030"/>
    <w:rsid w:val="001C54BA"/>
    <w:rsid w:val="001D2DCC"/>
    <w:rsid w:val="001D4510"/>
    <w:rsid w:val="001D71FF"/>
    <w:rsid w:val="001E1B0A"/>
    <w:rsid w:val="001E6D2A"/>
    <w:rsid w:val="001F2A19"/>
    <w:rsid w:val="001F4A0B"/>
    <w:rsid w:val="001F654E"/>
    <w:rsid w:val="00201219"/>
    <w:rsid w:val="00205FAE"/>
    <w:rsid w:val="00206E22"/>
    <w:rsid w:val="00207020"/>
    <w:rsid w:val="00207492"/>
    <w:rsid w:val="00217C77"/>
    <w:rsid w:val="00226327"/>
    <w:rsid w:val="00227FE1"/>
    <w:rsid w:val="00241236"/>
    <w:rsid w:val="002428A1"/>
    <w:rsid w:val="00255483"/>
    <w:rsid w:val="00265E19"/>
    <w:rsid w:val="00274BDD"/>
    <w:rsid w:val="00286ADD"/>
    <w:rsid w:val="0029215A"/>
    <w:rsid w:val="002977D0"/>
    <w:rsid w:val="002A6856"/>
    <w:rsid w:val="002B06F6"/>
    <w:rsid w:val="002B633B"/>
    <w:rsid w:val="002C51D7"/>
    <w:rsid w:val="002C6B33"/>
    <w:rsid w:val="002D3522"/>
    <w:rsid w:val="002D4B3C"/>
    <w:rsid w:val="002E5BF0"/>
    <w:rsid w:val="002E604E"/>
    <w:rsid w:val="002F41D0"/>
    <w:rsid w:val="002F7411"/>
    <w:rsid w:val="002F7E91"/>
    <w:rsid w:val="0030633C"/>
    <w:rsid w:val="0031049F"/>
    <w:rsid w:val="00322287"/>
    <w:rsid w:val="0032337E"/>
    <w:rsid w:val="00330281"/>
    <w:rsid w:val="00340C2B"/>
    <w:rsid w:val="0036015B"/>
    <w:rsid w:val="00371937"/>
    <w:rsid w:val="00371DE2"/>
    <w:rsid w:val="003732CE"/>
    <w:rsid w:val="00375B0F"/>
    <w:rsid w:val="0037686E"/>
    <w:rsid w:val="00380CA3"/>
    <w:rsid w:val="00392C82"/>
    <w:rsid w:val="003A3885"/>
    <w:rsid w:val="003A3CEF"/>
    <w:rsid w:val="003C0302"/>
    <w:rsid w:val="003E68D0"/>
    <w:rsid w:val="003F7E61"/>
    <w:rsid w:val="00405B9B"/>
    <w:rsid w:val="00425144"/>
    <w:rsid w:val="004340F8"/>
    <w:rsid w:val="00436020"/>
    <w:rsid w:val="00437D5C"/>
    <w:rsid w:val="00442EA6"/>
    <w:rsid w:val="00446BCA"/>
    <w:rsid w:val="00456EA8"/>
    <w:rsid w:val="004608CF"/>
    <w:rsid w:val="00461246"/>
    <w:rsid w:val="0047351E"/>
    <w:rsid w:val="00474F2B"/>
    <w:rsid w:val="004754C1"/>
    <w:rsid w:val="0047584B"/>
    <w:rsid w:val="00476003"/>
    <w:rsid w:val="00485748"/>
    <w:rsid w:val="00495302"/>
    <w:rsid w:val="0049667F"/>
    <w:rsid w:val="004B7064"/>
    <w:rsid w:val="004C22CE"/>
    <w:rsid w:val="004C451E"/>
    <w:rsid w:val="004D15AA"/>
    <w:rsid w:val="004E677E"/>
    <w:rsid w:val="0050312A"/>
    <w:rsid w:val="00517ABA"/>
    <w:rsid w:val="005209C8"/>
    <w:rsid w:val="00521DFF"/>
    <w:rsid w:val="0052405B"/>
    <w:rsid w:val="0053059D"/>
    <w:rsid w:val="00533298"/>
    <w:rsid w:val="005378AE"/>
    <w:rsid w:val="0054046A"/>
    <w:rsid w:val="005439AB"/>
    <w:rsid w:val="005542F9"/>
    <w:rsid w:val="00565F58"/>
    <w:rsid w:val="00567490"/>
    <w:rsid w:val="0057339D"/>
    <w:rsid w:val="00576231"/>
    <w:rsid w:val="005809F7"/>
    <w:rsid w:val="00587306"/>
    <w:rsid w:val="00591B73"/>
    <w:rsid w:val="005B05F5"/>
    <w:rsid w:val="005B1D1B"/>
    <w:rsid w:val="005B5E26"/>
    <w:rsid w:val="005C0429"/>
    <w:rsid w:val="005C4765"/>
    <w:rsid w:val="005E48F8"/>
    <w:rsid w:val="0062374E"/>
    <w:rsid w:val="006254CA"/>
    <w:rsid w:val="006263FF"/>
    <w:rsid w:val="006275A6"/>
    <w:rsid w:val="00627E32"/>
    <w:rsid w:val="00630B90"/>
    <w:rsid w:val="00643EEA"/>
    <w:rsid w:val="00645B91"/>
    <w:rsid w:val="0065080B"/>
    <w:rsid w:val="00660A5F"/>
    <w:rsid w:val="00661E48"/>
    <w:rsid w:val="00671D3C"/>
    <w:rsid w:val="006761A1"/>
    <w:rsid w:val="00681DC0"/>
    <w:rsid w:val="00685126"/>
    <w:rsid w:val="0068593B"/>
    <w:rsid w:val="00693877"/>
    <w:rsid w:val="00696CB8"/>
    <w:rsid w:val="006A2185"/>
    <w:rsid w:val="006A3153"/>
    <w:rsid w:val="006A37FC"/>
    <w:rsid w:val="006A4DBA"/>
    <w:rsid w:val="006E2287"/>
    <w:rsid w:val="006E2AD8"/>
    <w:rsid w:val="006E5E8D"/>
    <w:rsid w:val="006F5AE2"/>
    <w:rsid w:val="00711EB9"/>
    <w:rsid w:val="00712ED6"/>
    <w:rsid w:val="007200B0"/>
    <w:rsid w:val="00722FF0"/>
    <w:rsid w:val="0072443C"/>
    <w:rsid w:val="0073207C"/>
    <w:rsid w:val="0073308F"/>
    <w:rsid w:val="00733BB3"/>
    <w:rsid w:val="00741879"/>
    <w:rsid w:val="007429A0"/>
    <w:rsid w:val="007444E8"/>
    <w:rsid w:val="00753E04"/>
    <w:rsid w:val="007556ED"/>
    <w:rsid w:val="00757315"/>
    <w:rsid w:val="007578A7"/>
    <w:rsid w:val="00760E80"/>
    <w:rsid w:val="00764554"/>
    <w:rsid w:val="00772C62"/>
    <w:rsid w:val="0077678B"/>
    <w:rsid w:val="00777A3E"/>
    <w:rsid w:val="00782A3B"/>
    <w:rsid w:val="007930B8"/>
    <w:rsid w:val="007A1F97"/>
    <w:rsid w:val="007B67D9"/>
    <w:rsid w:val="007C0524"/>
    <w:rsid w:val="007C2F61"/>
    <w:rsid w:val="007D7757"/>
    <w:rsid w:val="007E100B"/>
    <w:rsid w:val="007E10C8"/>
    <w:rsid w:val="007E2B01"/>
    <w:rsid w:val="0080003F"/>
    <w:rsid w:val="008071A2"/>
    <w:rsid w:val="00815A2A"/>
    <w:rsid w:val="00820DD9"/>
    <w:rsid w:val="00831D01"/>
    <w:rsid w:val="00846C42"/>
    <w:rsid w:val="0084778F"/>
    <w:rsid w:val="00853B36"/>
    <w:rsid w:val="00863346"/>
    <w:rsid w:val="00865E72"/>
    <w:rsid w:val="008674C9"/>
    <w:rsid w:val="008709D0"/>
    <w:rsid w:val="008818B7"/>
    <w:rsid w:val="00893B47"/>
    <w:rsid w:val="00897563"/>
    <w:rsid w:val="008A36C3"/>
    <w:rsid w:val="008A446E"/>
    <w:rsid w:val="008A655C"/>
    <w:rsid w:val="008B7EE7"/>
    <w:rsid w:val="008C19CC"/>
    <w:rsid w:val="008C5398"/>
    <w:rsid w:val="008C5F12"/>
    <w:rsid w:val="008D2748"/>
    <w:rsid w:val="008D4688"/>
    <w:rsid w:val="008E30BD"/>
    <w:rsid w:val="008F29CE"/>
    <w:rsid w:val="009010FC"/>
    <w:rsid w:val="00901C78"/>
    <w:rsid w:val="00906A7A"/>
    <w:rsid w:val="00906EA2"/>
    <w:rsid w:val="00913DEF"/>
    <w:rsid w:val="009172F6"/>
    <w:rsid w:val="0092425E"/>
    <w:rsid w:val="009246BE"/>
    <w:rsid w:val="00925963"/>
    <w:rsid w:val="00931BD9"/>
    <w:rsid w:val="00931CCF"/>
    <w:rsid w:val="009330DF"/>
    <w:rsid w:val="009368F7"/>
    <w:rsid w:val="00956269"/>
    <w:rsid w:val="00960F02"/>
    <w:rsid w:val="00964ABE"/>
    <w:rsid w:val="0097173D"/>
    <w:rsid w:val="00974DDE"/>
    <w:rsid w:val="009859A4"/>
    <w:rsid w:val="00985A78"/>
    <w:rsid w:val="00993AD7"/>
    <w:rsid w:val="009A2A42"/>
    <w:rsid w:val="009A365B"/>
    <w:rsid w:val="009A3D3A"/>
    <w:rsid w:val="009B2E27"/>
    <w:rsid w:val="009B3FF3"/>
    <w:rsid w:val="009B62CB"/>
    <w:rsid w:val="009C01C4"/>
    <w:rsid w:val="009C104D"/>
    <w:rsid w:val="009C61AC"/>
    <w:rsid w:val="009C76A1"/>
    <w:rsid w:val="009C793A"/>
    <w:rsid w:val="009E51AA"/>
    <w:rsid w:val="00A039F1"/>
    <w:rsid w:val="00A07EEC"/>
    <w:rsid w:val="00A132F4"/>
    <w:rsid w:val="00A22694"/>
    <w:rsid w:val="00A24289"/>
    <w:rsid w:val="00A25792"/>
    <w:rsid w:val="00A26121"/>
    <w:rsid w:val="00A277AC"/>
    <w:rsid w:val="00A325A4"/>
    <w:rsid w:val="00A4210F"/>
    <w:rsid w:val="00A433AF"/>
    <w:rsid w:val="00A4663E"/>
    <w:rsid w:val="00A4794B"/>
    <w:rsid w:val="00A6586F"/>
    <w:rsid w:val="00A72A22"/>
    <w:rsid w:val="00A81E41"/>
    <w:rsid w:val="00A8206D"/>
    <w:rsid w:val="00A96260"/>
    <w:rsid w:val="00AA058D"/>
    <w:rsid w:val="00AC3324"/>
    <w:rsid w:val="00AC4086"/>
    <w:rsid w:val="00AC580F"/>
    <w:rsid w:val="00AC7B09"/>
    <w:rsid w:val="00AD1C30"/>
    <w:rsid w:val="00AF18C3"/>
    <w:rsid w:val="00AF3661"/>
    <w:rsid w:val="00AF53AB"/>
    <w:rsid w:val="00AF5E2F"/>
    <w:rsid w:val="00AF70C7"/>
    <w:rsid w:val="00B03EBD"/>
    <w:rsid w:val="00B0433A"/>
    <w:rsid w:val="00B0568B"/>
    <w:rsid w:val="00B07C84"/>
    <w:rsid w:val="00B12282"/>
    <w:rsid w:val="00B1476E"/>
    <w:rsid w:val="00B15F5B"/>
    <w:rsid w:val="00B17B8D"/>
    <w:rsid w:val="00B25EA7"/>
    <w:rsid w:val="00B45164"/>
    <w:rsid w:val="00B453E4"/>
    <w:rsid w:val="00B507F7"/>
    <w:rsid w:val="00B52214"/>
    <w:rsid w:val="00B5450B"/>
    <w:rsid w:val="00B568EF"/>
    <w:rsid w:val="00B753FD"/>
    <w:rsid w:val="00B771C7"/>
    <w:rsid w:val="00B95F84"/>
    <w:rsid w:val="00B9614A"/>
    <w:rsid w:val="00B970C1"/>
    <w:rsid w:val="00BA0989"/>
    <w:rsid w:val="00BA5315"/>
    <w:rsid w:val="00BC318F"/>
    <w:rsid w:val="00BC54A8"/>
    <w:rsid w:val="00BD059E"/>
    <w:rsid w:val="00BD1E92"/>
    <w:rsid w:val="00BD5C58"/>
    <w:rsid w:val="00BE1F8D"/>
    <w:rsid w:val="00BE1F97"/>
    <w:rsid w:val="00BE5051"/>
    <w:rsid w:val="00BF0B64"/>
    <w:rsid w:val="00BF199D"/>
    <w:rsid w:val="00BF2CEB"/>
    <w:rsid w:val="00BF4A57"/>
    <w:rsid w:val="00C05A35"/>
    <w:rsid w:val="00C05C1E"/>
    <w:rsid w:val="00C06B4E"/>
    <w:rsid w:val="00C06F73"/>
    <w:rsid w:val="00C07E2F"/>
    <w:rsid w:val="00C17D01"/>
    <w:rsid w:val="00C42A86"/>
    <w:rsid w:val="00C56C3E"/>
    <w:rsid w:val="00C60409"/>
    <w:rsid w:val="00C60817"/>
    <w:rsid w:val="00C656A3"/>
    <w:rsid w:val="00C80DBA"/>
    <w:rsid w:val="00C84904"/>
    <w:rsid w:val="00C84D85"/>
    <w:rsid w:val="00C901E0"/>
    <w:rsid w:val="00C91D24"/>
    <w:rsid w:val="00C94996"/>
    <w:rsid w:val="00C97595"/>
    <w:rsid w:val="00C977F8"/>
    <w:rsid w:val="00C97CA8"/>
    <w:rsid w:val="00CA627F"/>
    <w:rsid w:val="00CA656D"/>
    <w:rsid w:val="00CB0C02"/>
    <w:rsid w:val="00CC262C"/>
    <w:rsid w:val="00CC3B9F"/>
    <w:rsid w:val="00CD1DC7"/>
    <w:rsid w:val="00CD6917"/>
    <w:rsid w:val="00CD69A0"/>
    <w:rsid w:val="00CD6C82"/>
    <w:rsid w:val="00CD7B6C"/>
    <w:rsid w:val="00CE0B3F"/>
    <w:rsid w:val="00CE0D08"/>
    <w:rsid w:val="00CE173C"/>
    <w:rsid w:val="00CE1E6D"/>
    <w:rsid w:val="00CE60FA"/>
    <w:rsid w:val="00CE765B"/>
    <w:rsid w:val="00CF328F"/>
    <w:rsid w:val="00D02B52"/>
    <w:rsid w:val="00D16071"/>
    <w:rsid w:val="00D1730F"/>
    <w:rsid w:val="00D208E3"/>
    <w:rsid w:val="00D21DE4"/>
    <w:rsid w:val="00D40114"/>
    <w:rsid w:val="00D43587"/>
    <w:rsid w:val="00D4525D"/>
    <w:rsid w:val="00D53DD0"/>
    <w:rsid w:val="00D55572"/>
    <w:rsid w:val="00D728BC"/>
    <w:rsid w:val="00D75F10"/>
    <w:rsid w:val="00D768B7"/>
    <w:rsid w:val="00D80240"/>
    <w:rsid w:val="00D80337"/>
    <w:rsid w:val="00D85F99"/>
    <w:rsid w:val="00D8693E"/>
    <w:rsid w:val="00D869CD"/>
    <w:rsid w:val="00D936C7"/>
    <w:rsid w:val="00D9495E"/>
    <w:rsid w:val="00DA315B"/>
    <w:rsid w:val="00DA5841"/>
    <w:rsid w:val="00DB2C30"/>
    <w:rsid w:val="00DB4467"/>
    <w:rsid w:val="00DB5772"/>
    <w:rsid w:val="00DC2742"/>
    <w:rsid w:val="00DC29F3"/>
    <w:rsid w:val="00DC576F"/>
    <w:rsid w:val="00DC75A3"/>
    <w:rsid w:val="00DD0435"/>
    <w:rsid w:val="00DD2B4A"/>
    <w:rsid w:val="00DD5622"/>
    <w:rsid w:val="00DE1DDC"/>
    <w:rsid w:val="00DE3A92"/>
    <w:rsid w:val="00DF7ABA"/>
    <w:rsid w:val="00E04784"/>
    <w:rsid w:val="00E111BA"/>
    <w:rsid w:val="00E13641"/>
    <w:rsid w:val="00E21954"/>
    <w:rsid w:val="00E21A25"/>
    <w:rsid w:val="00E41999"/>
    <w:rsid w:val="00E52757"/>
    <w:rsid w:val="00E63C56"/>
    <w:rsid w:val="00E648CA"/>
    <w:rsid w:val="00E65594"/>
    <w:rsid w:val="00E7074A"/>
    <w:rsid w:val="00E73883"/>
    <w:rsid w:val="00E7733F"/>
    <w:rsid w:val="00E87C8F"/>
    <w:rsid w:val="00E90F03"/>
    <w:rsid w:val="00E93957"/>
    <w:rsid w:val="00E93ED8"/>
    <w:rsid w:val="00E95419"/>
    <w:rsid w:val="00EA1676"/>
    <w:rsid w:val="00EB0955"/>
    <w:rsid w:val="00EB133A"/>
    <w:rsid w:val="00EB1B42"/>
    <w:rsid w:val="00EB21C9"/>
    <w:rsid w:val="00EB28EC"/>
    <w:rsid w:val="00EC2F96"/>
    <w:rsid w:val="00EC75BB"/>
    <w:rsid w:val="00ED295D"/>
    <w:rsid w:val="00ED39A9"/>
    <w:rsid w:val="00ED785E"/>
    <w:rsid w:val="00EE03FE"/>
    <w:rsid w:val="00EE1E26"/>
    <w:rsid w:val="00EE2322"/>
    <w:rsid w:val="00EE3824"/>
    <w:rsid w:val="00EF3271"/>
    <w:rsid w:val="00EF4D1E"/>
    <w:rsid w:val="00EF5684"/>
    <w:rsid w:val="00F02C13"/>
    <w:rsid w:val="00F07F9A"/>
    <w:rsid w:val="00F13F8C"/>
    <w:rsid w:val="00F15F5E"/>
    <w:rsid w:val="00F365EF"/>
    <w:rsid w:val="00F371D2"/>
    <w:rsid w:val="00F44068"/>
    <w:rsid w:val="00F45C03"/>
    <w:rsid w:val="00F47EEB"/>
    <w:rsid w:val="00F53C3C"/>
    <w:rsid w:val="00F56C56"/>
    <w:rsid w:val="00F57B7F"/>
    <w:rsid w:val="00F57C4E"/>
    <w:rsid w:val="00F605D2"/>
    <w:rsid w:val="00F61B19"/>
    <w:rsid w:val="00F62810"/>
    <w:rsid w:val="00F635B8"/>
    <w:rsid w:val="00F66322"/>
    <w:rsid w:val="00F678E9"/>
    <w:rsid w:val="00F716F5"/>
    <w:rsid w:val="00F754E6"/>
    <w:rsid w:val="00F80AC4"/>
    <w:rsid w:val="00F90647"/>
    <w:rsid w:val="00F92928"/>
    <w:rsid w:val="00F95293"/>
    <w:rsid w:val="00FA0E62"/>
    <w:rsid w:val="00FB288E"/>
    <w:rsid w:val="00FC0E6D"/>
    <w:rsid w:val="00FC566B"/>
    <w:rsid w:val="00FD1BDC"/>
    <w:rsid w:val="00FD4BD3"/>
    <w:rsid w:val="00FE19B2"/>
    <w:rsid w:val="00FE630C"/>
    <w:rsid w:val="00FF4220"/>
    <w:rsid w:val="00FF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B19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4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0F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2F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D04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7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70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74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2C62"/>
    <w:rPr>
      <w:color w:val="0000FF"/>
      <w:u w:val="single"/>
    </w:rPr>
  </w:style>
  <w:style w:type="character" w:styleId="PageNumber">
    <w:name w:val="page number"/>
    <w:basedOn w:val="DefaultParagraphFont"/>
    <w:rsid w:val="0049667F"/>
  </w:style>
  <w:style w:type="paragraph" w:styleId="TOC1">
    <w:name w:val="toc 1"/>
    <w:basedOn w:val="Normal"/>
    <w:next w:val="Normal"/>
    <w:autoRedefine/>
    <w:semiHidden/>
    <w:rsid w:val="000F28B5"/>
    <w:pPr>
      <w:tabs>
        <w:tab w:val="right" w:leader="underscore" w:pos="8630"/>
      </w:tabs>
      <w:spacing w:before="120"/>
    </w:pPr>
    <w:rPr>
      <w:b/>
      <w:bCs/>
      <w:iCs/>
      <w:noProof/>
    </w:rPr>
  </w:style>
  <w:style w:type="paragraph" w:styleId="TOC2">
    <w:name w:val="toc 2"/>
    <w:basedOn w:val="Normal"/>
    <w:next w:val="Normal"/>
    <w:autoRedefine/>
    <w:semiHidden/>
    <w:rsid w:val="001C3030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1C3030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BD5C5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BD5C5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D5C5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BD5C5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BD5C5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BD5C58"/>
    <w:pPr>
      <w:ind w:left="1920"/>
    </w:pPr>
    <w:rPr>
      <w:sz w:val="20"/>
      <w:szCs w:val="20"/>
    </w:rPr>
  </w:style>
  <w:style w:type="paragraph" w:customStyle="1" w:styleId="Style1">
    <w:name w:val="Style1"/>
    <w:basedOn w:val="Normal"/>
    <w:rsid w:val="00DD0435"/>
    <w:pPr>
      <w:numPr>
        <w:numId w:val="19"/>
      </w:numPr>
    </w:pPr>
  </w:style>
  <w:style w:type="paragraph" w:styleId="NormalWeb">
    <w:name w:val="Normal (Web)"/>
    <w:basedOn w:val="Normal"/>
    <w:rsid w:val="00DD0435"/>
    <w:pPr>
      <w:spacing w:before="100" w:beforeAutospacing="1" w:after="100" w:afterAutospacing="1"/>
    </w:pPr>
  </w:style>
  <w:style w:type="paragraph" w:customStyle="1" w:styleId="Default">
    <w:name w:val="Default"/>
    <w:rsid w:val="00DD04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hanne.simon-gillo@science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 CBC Assessment Report and Template</vt:lpstr>
    </vt:vector>
  </TitlesOfParts>
  <Company>Project Time &amp; Cost, Inc.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CBC Assessment Report and Template</dc:title>
  <dc:subject>Federal Project Director Discussion Details</dc:subject>
  <dc:creator>stephen.korenkiewicz</dc:creator>
  <cp:keywords>Template Form EM CBC Small Projects Assessment Report</cp:keywords>
  <dc:description/>
  <cp:lastModifiedBy>lnelson</cp:lastModifiedBy>
  <cp:revision>12</cp:revision>
  <cp:lastPrinted>2010-08-02T13:32:00Z</cp:lastPrinted>
  <dcterms:created xsi:type="dcterms:W3CDTF">2010-07-28T20:42:00Z</dcterms:created>
  <dcterms:modified xsi:type="dcterms:W3CDTF">2010-12-08T20:47:00Z</dcterms:modified>
</cp:coreProperties>
</file>